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832F8" w14:textId="77777777" w:rsidR="00FF45A5" w:rsidRPr="00FF45A5" w:rsidRDefault="00FF45A5" w:rsidP="00FF45A5">
      <w:pPr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  <w:r w:rsidRPr="00FF45A5">
        <w:rPr>
          <w:rFonts w:ascii="Times New Roman" w:eastAsia="MS Mincho" w:hAnsi="Times New Roman" w:cs="Times New Roman"/>
          <w:noProof/>
          <w:kern w:val="0"/>
          <w:sz w:val="24"/>
          <w:szCs w:val="24"/>
          <w14:ligatures w14:val="none"/>
        </w:rPr>
        <w:drawing>
          <wp:anchor distT="0" distB="0" distL="114300" distR="114300" simplePos="0" relativeHeight="251661312" behindDoc="0" locked="0" layoutInCell="1" allowOverlap="1" wp14:anchorId="231F15C9" wp14:editId="7A9378D0">
            <wp:simplePos x="0" y="0"/>
            <wp:positionH relativeFrom="margin">
              <wp:posOffset>3166773</wp:posOffset>
            </wp:positionH>
            <wp:positionV relativeFrom="paragraph">
              <wp:posOffset>6350</wp:posOffset>
            </wp:positionV>
            <wp:extent cx="2618740" cy="945515"/>
            <wp:effectExtent l="0" t="0" r="0" b="6985"/>
            <wp:wrapNone/>
            <wp:docPr id="45696635" name="Obrázek 45696635" descr="Obsah obrázku text, Písmo, snímek obrazovky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417449" name="Obrázek 1" descr="Obsah obrázku text, Písmo, snímek obrazovky, Grafika&#10;&#10;Popis byl vytvořen automaticky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874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45A5">
        <w:rPr>
          <w:rFonts w:ascii="Times New Roman" w:eastAsia="MS Mincho" w:hAnsi="Times New Roman" w:cs="Times New Roman"/>
          <w:noProof/>
          <w:kern w:val="0"/>
          <w:sz w:val="24"/>
          <w:szCs w:val="24"/>
          <w14:ligatures w14:val="none"/>
        </w:rPr>
        <w:drawing>
          <wp:anchor distT="0" distB="0" distL="114300" distR="114300" simplePos="0" relativeHeight="251660288" behindDoc="0" locked="0" layoutInCell="1" allowOverlap="1" wp14:anchorId="068ECEA2" wp14:editId="2F99D520">
            <wp:simplePos x="0" y="0"/>
            <wp:positionH relativeFrom="margin">
              <wp:align>left</wp:align>
            </wp:positionH>
            <wp:positionV relativeFrom="paragraph">
              <wp:posOffset>6157</wp:posOffset>
            </wp:positionV>
            <wp:extent cx="2727298" cy="901768"/>
            <wp:effectExtent l="0" t="0" r="0" b="0"/>
            <wp:wrapNone/>
            <wp:docPr id="1224551170" name="Obrázek 1224551170" descr="Obsah obrázku Písmo, Elektricky modrá, modrá, log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823995" name="Obrázek 1" descr="Obsah obrázku Písmo, Elektricky modrá, modrá, logo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7298" cy="901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781EDF" w14:textId="77777777" w:rsidR="00FF45A5" w:rsidRPr="00FF45A5" w:rsidRDefault="00FF45A5" w:rsidP="00FF45A5">
      <w:pPr>
        <w:spacing w:after="0" w:line="240" w:lineRule="auto"/>
        <w:jc w:val="center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1245357E" w14:textId="77777777" w:rsidR="00FF45A5" w:rsidRPr="00FF45A5" w:rsidRDefault="00FF45A5" w:rsidP="00FF45A5">
      <w:pPr>
        <w:spacing w:after="0" w:line="240" w:lineRule="auto"/>
        <w:jc w:val="center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  <w:r w:rsidRPr="00FF45A5"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421EC82" w14:textId="77777777" w:rsidR="00FF45A5" w:rsidRPr="00FF45A5" w:rsidRDefault="00FF45A5" w:rsidP="00FF45A5">
      <w:pPr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247AE084" w14:textId="77777777" w:rsidR="00FF45A5" w:rsidRPr="00FF45A5" w:rsidRDefault="00FF45A5" w:rsidP="00FF45A5">
      <w:pPr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1903DEA7" w14:textId="77777777" w:rsidR="00FF45A5" w:rsidRPr="00FF45A5" w:rsidRDefault="00FF45A5" w:rsidP="00FF45A5">
      <w:pPr>
        <w:spacing w:after="0" w:line="240" w:lineRule="auto"/>
        <w:jc w:val="right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44817712" w14:textId="77777777" w:rsidR="00FF45A5" w:rsidRPr="00FF45A5" w:rsidRDefault="00FF45A5" w:rsidP="00FF45A5">
      <w:pPr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35C1D58A" w14:textId="77777777" w:rsidR="00FF45A5" w:rsidRPr="00FF45A5" w:rsidRDefault="00FF45A5" w:rsidP="00FF45A5">
      <w:pPr>
        <w:tabs>
          <w:tab w:val="left" w:pos="3869"/>
        </w:tabs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  <w:r w:rsidRPr="00FF45A5">
        <w:rPr>
          <w:rFonts w:ascii="Times New Roman" w:eastAsia="MS Mincho" w:hAnsi="Times New Roman" w:cs="Times New Roman"/>
          <w:noProof/>
          <w:kern w:val="0"/>
          <w:sz w:val="24"/>
          <w:szCs w:val="24"/>
          <w14:ligatures w14:val="none"/>
        </w:rPr>
        <w:drawing>
          <wp:anchor distT="0" distB="0" distL="114300" distR="114300" simplePos="0" relativeHeight="251659264" behindDoc="0" locked="0" layoutInCell="1" allowOverlap="1" wp14:anchorId="3B91EFE9" wp14:editId="68AD9BD4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429510" cy="1136650"/>
            <wp:effectExtent l="0" t="0" r="8890" b="6350"/>
            <wp:wrapNone/>
            <wp:docPr id="1668204991" name="Obrázek 1668204991" descr="Obsah obrázku Písmo, text, bílé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961692" name="Obrázek 1" descr="Obsah obrázku Písmo, text, bílé, Grafika&#10;&#10;Popis byl vytvořen automaticky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45A5">
        <w:rPr>
          <w:rFonts w:ascii="Times New Roman" w:eastAsia="MS Mincho" w:hAnsi="Times New Roman" w:cs="Times New Roman"/>
          <w:noProof/>
          <w:kern w:val="0"/>
          <w:sz w:val="24"/>
          <w:szCs w:val="24"/>
          <w14:ligatures w14:val="none"/>
        </w:rPr>
        <w:drawing>
          <wp:anchor distT="0" distB="0" distL="114300" distR="114300" simplePos="0" relativeHeight="251662336" behindDoc="0" locked="0" layoutInCell="1" allowOverlap="1" wp14:anchorId="673FFA37" wp14:editId="1C6F06E5">
            <wp:simplePos x="0" y="0"/>
            <wp:positionH relativeFrom="column">
              <wp:posOffset>2958548</wp:posOffset>
            </wp:positionH>
            <wp:positionV relativeFrom="paragraph">
              <wp:posOffset>7013</wp:posOffset>
            </wp:positionV>
            <wp:extent cx="2854325" cy="1431290"/>
            <wp:effectExtent l="0" t="0" r="3175" b="0"/>
            <wp:wrapNone/>
            <wp:docPr id="153893172" name="Obrázek 153893172" descr="Nemocnice Břecl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Nemocnice Břecla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F45A5"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  <w:tab/>
      </w:r>
    </w:p>
    <w:p w14:paraId="6829ED77" w14:textId="77777777" w:rsidR="00FF45A5" w:rsidRPr="00FF45A5" w:rsidRDefault="00FF45A5" w:rsidP="00FF45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  <w:r w:rsidRPr="00FF45A5"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  <w:tab/>
      </w:r>
    </w:p>
    <w:p w14:paraId="2B87E25F" w14:textId="77777777" w:rsidR="00FF45A5" w:rsidRPr="00FF45A5" w:rsidRDefault="00FF45A5" w:rsidP="00FF45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17041ED2" w14:textId="77777777" w:rsidR="00FF45A5" w:rsidRPr="00FF45A5" w:rsidRDefault="00FF45A5" w:rsidP="00FF45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141F1CA2" w14:textId="77777777" w:rsidR="00FF45A5" w:rsidRPr="00FF45A5" w:rsidRDefault="00FF45A5" w:rsidP="00FF45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089A2B20" w14:textId="77777777" w:rsidR="00FF45A5" w:rsidRPr="00FF45A5" w:rsidRDefault="00FF45A5" w:rsidP="00FF45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1D752DEA" w14:textId="77777777" w:rsidR="00FF45A5" w:rsidRPr="00FF45A5" w:rsidRDefault="00FF45A5" w:rsidP="00FF45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336F21D5" w14:textId="77777777" w:rsidR="00FF45A5" w:rsidRPr="00FF45A5" w:rsidRDefault="00FF45A5" w:rsidP="00FF45A5">
      <w:pPr>
        <w:tabs>
          <w:tab w:val="right" w:pos="9072"/>
        </w:tabs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4971A838" w14:textId="77777777" w:rsidR="00FF45A5" w:rsidRPr="00FF45A5" w:rsidRDefault="00FF45A5" w:rsidP="00FF45A5">
      <w:pPr>
        <w:tabs>
          <w:tab w:val="left" w:pos="3406"/>
        </w:tabs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  <w:r w:rsidRPr="00FF45A5"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  <w:tab/>
      </w:r>
    </w:p>
    <w:p w14:paraId="02DFDAC9" w14:textId="77777777" w:rsidR="00FF45A5" w:rsidRPr="00FF45A5" w:rsidRDefault="00FF45A5" w:rsidP="00FF45A5">
      <w:pPr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60D91055" w14:textId="77777777" w:rsidR="00FF45A5" w:rsidRPr="00FF45A5" w:rsidRDefault="00FF45A5" w:rsidP="00FF45A5">
      <w:pPr>
        <w:spacing w:before="240" w:after="240" w:line="240" w:lineRule="auto"/>
        <w:jc w:val="center"/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  <w:r w:rsidRPr="00FF45A5"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  <w:t>Nemocnice Břeclav, p. o.</w:t>
      </w:r>
    </w:p>
    <w:p w14:paraId="02547962" w14:textId="77777777" w:rsidR="00FF45A5" w:rsidRPr="00FF45A5" w:rsidRDefault="00FF45A5" w:rsidP="00FF45A5">
      <w:pPr>
        <w:spacing w:before="240" w:after="240" w:line="240" w:lineRule="auto"/>
        <w:jc w:val="center"/>
        <w:rPr>
          <w:rFonts w:ascii="Times New Roman" w:eastAsia="MS Mincho" w:hAnsi="Times New Roman" w:cs="Times New Roman"/>
          <w:caps/>
          <w:kern w:val="0"/>
          <w:sz w:val="36"/>
          <w:szCs w:val="36"/>
          <w14:ligatures w14:val="none"/>
        </w:rPr>
      </w:pPr>
    </w:p>
    <w:p w14:paraId="7DC14950" w14:textId="77777777" w:rsidR="00FF45A5" w:rsidRPr="00FF45A5" w:rsidRDefault="00FF45A5" w:rsidP="00FF45A5">
      <w:pPr>
        <w:keepNext/>
        <w:keepLines/>
        <w:spacing w:before="240" w:after="240" w:line="240" w:lineRule="auto"/>
        <w:jc w:val="center"/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  <w:r w:rsidRPr="00FF45A5"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  <w:t>Požadovaná opatření</w:t>
      </w:r>
    </w:p>
    <w:p w14:paraId="7B26826A" w14:textId="77777777" w:rsidR="00FF45A5" w:rsidRPr="00FF45A5" w:rsidRDefault="00FF45A5" w:rsidP="00FF45A5">
      <w:pPr>
        <w:keepNext/>
        <w:keepLines/>
        <w:spacing w:before="240" w:after="240" w:line="240" w:lineRule="auto"/>
        <w:jc w:val="center"/>
        <w:rPr>
          <w:rFonts w:ascii="Verdana" w:eastAsia="MS Mincho" w:hAnsi="Verdana" w:cs="Times New Roman"/>
          <w:b/>
          <w:caps/>
          <w:kern w:val="0"/>
          <w:sz w:val="20"/>
          <w:szCs w:val="20"/>
          <w:lang w:eastAsia="en-GB"/>
          <w14:ligatures w14:val="none"/>
        </w:rPr>
      </w:pPr>
      <w:r w:rsidRPr="00FF45A5">
        <w:rPr>
          <w:rFonts w:ascii="Verdana" w:eastAsia="MS Mincho" w:hAnsi="Verdana" w:cs="Times New Roman"/>
          <w:b/>
          <w:caps/>
          <w:kern w:val="0"/>
          <w:sz w:val="20"/>
          <w:szCs w:val="20"/>
          <w:lang w:eastAsia="en-GB"/>
          <w14:ligatures w14:val="none"/>
        </w:rPr>
        <w:t>Poskytovaní energetických služeb metodou EPC ve vybraných objektech Nemocnice Břeclav, p. o.</w:t>
      </w:r>
    </w:p>
    <w:p w14:paraId="0F66131F" w14:textId="0055D99C" w:rsidR="00FF45A5" w:rsidRPr="00FF45A5" w:rsidRDefault="00FF45A5" w:rsidP="00FF45A5">
      <w:pPr>
        <w:keepNext/>
        <w:keepLines/>
        <w:spacing w:before="240" w:after="240" w:line="240" w:lineRule="auto"/>
        <w:jc w:val="center"/>
        <w:rPr>
          <w:rFonts w:ascii="Verdana" w:eastAsia="MS Mincho" w:hAnsi="Verdana" w:cs="Arial"/>
          <w:spacing w:val="10"/>
          <w:kern w:val="0"/>
          <w:sz w:val="20"/>
          <w:szCs w:val="20"/>
          <w:lang w:eastAsia="en-GB"/>
          <w14:ligatures w14:val="none"/>
        </w:rPr>
      </w:pPr>
      <w:r w:rsidRPr="00FF45A5">
        <w:rPr>
          <w:rFonts w:ascii="Verdana" w:eastAsia="MS Mincho" w:hAnsi="Verdana" w:cs="Arial"/>
          <w:b/>
          <w:caps/>
          <w:spacing w:val="10"/>
          <w:kern w:val="0"/>
          <w:sz w:val="20"/>
          <w:szCs w:val="20"/>
          <w:lang w:eastAsia="en-GB"/>
          <w14:ligatures w14:val="none"/>
        </w:rPr>
        <w:t>V RÁCMI DOTAČNÍ</w:t>
      </w:r>
      <w:r w:rsidR="00C401D0">
        <w:rPr>
          <w:rFonts w:ascii="Verdana" w:eastAsia="MS Mincho" w:hAnsi="Verdana" w:cs="Arial"/>
          <w:b/>
          <w:caps/>
          <w:spacing w:val="10"/>
          <w:kern w:val="0"/>
          <w:sz w:val="20"/>
          <w:szCs w:val="20"/>
          <w:lang w:eastAsia="en-GB"/>
          <w14:ligatures w14:val="none"/>
        </w:rPr>
        <w:t>HO</w:t>
      </w:r>
      <w:r w:rsidRPr="00FF45A5">
        <w:rPr>
          <w:rFonts w:ascii="Verdana" w:eastAsia="MS Mincho" w:hAnsi="Verdana" w:cs="Arial"/>
          <w:b/>
          <w:caps/>
          <w:spacing w:val="10"/>
          <w:kern w:val="0"/>
          <w:sz w:val="20"/>
          <w:szCs w:val="20"/>
          <w:lang w:eastAsia="en-GB"/>
          <w14:ligatures w14:val="none"/>
        </w:rPr>
        <w:t xml:space="preserve"> PROJEKT</w:t>
      </w:r>
      <w:r w:rsidR="00C401D0">
        <w:rPr>
          <w:rFonts w:ascii="Verdana" w:eastAsia="MS Mincho" w:hAnsi="Verdana" w:cs="Arial"/>
          <w:b/>
          <w:caps/>
          <w:spacing w:val="10"/>
          <w:kern w:val="0"/>
          <w:sz w:val="20"/>
          <w:szCs w:val="20"/>
          <w:lang w:eastAsia="en-GB"/>
          <w14:ligatures w14:val="none"/>
        </w:rPr>
        <w:t>U</w:t>
      </w:r>
    </w:p>
    <w:p w14:paraId="59F8546B" w14:textId="77777777" w:rsidR="00FF45A5" w:rsidRPr="00FF45A5" w:rsidRDefault="00FF45A5" w:rsidP="00FF45A5">
      <w:pPr>
        <w:spacing w:after="0" w:line="240" w:lineRule="auto"/>
        <w:jc w:val="center"/>
        <w:rPr>
          <w:rFonts w:ascii="Verdana" w:eastAsia="MS Mincho" w:hAnsi="Verdana" w:cs="Arial"/>
          <w:b/>
          <w:caps/>
          <w:spacing w:val="10"/>
          <w:kern w:val="0"/>
          <w:sz w:val="20"/>
          <w:szCs w:val="20"/>
          <w14:ligatures w14:val="none"/>
        </w:rPr>
      </w:pPr>
    </w:p>
    <w:p w14:paraId="26CB63A4" w14:textId="3657023B" w:rsidR="00FF45A5" w:rsidRPr="00FF45A5" w:rsidRDefault="00BA4850" w:rsidP="00FF45A5">
      <w:pPr>
        <w:spacing w:after="0" w:line="240" w:lineRule="auto"/>
        <w:jc w:val="center"/>
        <w:rPr>
          <w:rFonts w:ascii="Verdana" w:eastAsia="MS Mincho" w:hAnsi="Verdana" w:cs="Arial"/>
          <w:b/>
          <w:caps/>
          <w:spacing w:val="10"/>
          <w:kern w:val="0"/>
          <w:sz w:val="20"/>
          <w:szCs w:val="20"/>
          <w:highlight w:val="yellow"/>
          <w14:ligatures w14:val="none"/>
        </w:rPr>
      </w:pPr>
      <w:r w:rsidRPr="00BA4850">
        <w:rPr>
          <w:rFonts w:ascii="Verdana" w:eastAsia="MS Mincho" w:hAnsi="Verdana" w:cs="Arial"/>
          <w:b/>
          <w:caps/>
          <w:spacing w:val="10"/>
          <w:kern w:val="0"/>
          <w:sz w:val="20"/>
          <w:szCs w:val="20"/>
          <w14:ligatures w14:val="none"/>
        </w:rPr>
        <w:t>Nemocnice Břeclav, p.o. - Komplexní energetické úspory objektu Ubytovna – EPC II</w:t>
      </w:r>
    </w:p>
    <w:p w14:paraId="292D94D8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</w:p>
    <w:p w14:paraId="54B3E53B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</w:p>
    <w:p w14:paraId="146DDC35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</w:p>
    <w:p w14:paraId="55A59393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</w:p>
    <w:p w14:paraId="4C1B62B1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</w:p>
    <w:p w14:paraId="51A5F68B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</w:p>
    <w:p w14:paraId="66F00EF5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</w:p>
    <w:p w14:paraId="227AAC64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</w:p>
    <w:sdt>
      <w:sdtPr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  <w:id w:val="-18426954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7343492" w14:textId="77777777" w:rsidR="00FF45A5" w:rsidRDefault="00FF45A5" w:rsidP="00FF45A5">
          <w:pPr>
            <w:keepNext/>
            <w:keepLines/>
            <w:spacing w:before="240" w:after="0"/>
            <w:rPr>
              <w:rFonts w:ascii="Verdana" w:eastAsia="Times New Roman" w:hAnsi="Verdana" w:cs="Times New Roman"/>
              <w:b/>
              <w:caps/>
              <w:kern w:val="0"/>
              <w:sz w:val="24"/>
              <w:szCs w:val="32"/>
              <w:lang w:eastAsia="cs-CZ"/>
              <w14:ligatures w14:val="none"/>
            </w:rPr>
          </w:pPr>
          <w:r w:rsidRPr="00FF45A5">
            <w:rPr>
              <w:rFonts w:ascii="Verdana" w:eastAsia="Times New Roman" w:hAnsi="Verdana" w:cs="Times New Roman"/>
              <w:b/>
              <w:caps/>
              <w:kern w:val="0"/>
              <w:sz w:val="24"/>
              <w:szCs w:val="32"/>
              <w:lang w:eastAsia="cs-CZ"/>
              <w14:ligatures w14:val="none"/>
            </w:rPr>
            <w:t>Obsah</w:t>
          </w:r>
        </w:p>
        <w:p w14:paraId="7EE78AF5" w14:textId="77777777" w:rsidR="00C401D0" w:rsidRPr="00FF45A5" w:rsidRDefault="00C401D0" w:rsidP="00C401D0">
          <w:pPr>
            <w:keepNext/>
            <w:keepLines/>
            <w:spacing w:after="0"/>
            <w:rPr>
              <w:rFonts w:ascii="Verdana" w:eastAsia="Times New Roman" w:hAnsi="Verdana" w:cs="Times New Roman"/>
              <w:b/>
              <w:caps/>
              <w:kern w:val="0"/>
              <w:sz w:val="24"/>
              <w:szCs w:val="32"/>
              <w:lang w:eastAsia="cs-CZ"/>
              <w14:ligatures w14:val="none"/>
            </w:rPr>
          </w:pPr>
        </w:p>
        <w:p w14:paraId="197A3AB8" w14:textId="6E8E838B" w:rsidR="005319A8" w:rsidRDefault="00FF45A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r w:rsidRPr="00FF45A5">
            <w:rPr>
              <w:rFonts w:ascii="Times New Roman" w:eastAsia="MS Mincho" w:hAnsi="Times New Roman" w:cs="Times New Roman"/>
              <w:kern w:val="0"/>
              <w:sz w:val="24"/>
              <w:szCs w:val="24"/>
              <w14:ligatures w14:val="none"/>
            </w:rPr>
            <w:fldChar w:fldCharType="begin"/>
          </w:r>
          <w:r w:rsidRPr="00FF45A5">
            <w:rPr>
              <w:rFonts w:ascii="Times New Roman" w:eastAsia="MS Mincho" w:hAnsi="Times New Roman" w:cs="Times New Roman"/>
              <w:kern w:val="0"/>
              <w:sz w:val="24"/>
              <w:szCs w:val="24"/>
              <w14:ligatures w14:val="none"/>
            </w:rPr>
            <w:instrText xml:space="preserve"> TOC \o "1-3" \h \z \u </w:instrText>
          </w:r>
          <w:r w:rsidRPr="00FF45A5">
            <w:rPr>
              <w:rFonts w:ascii="Times New Roman" w:eastAsia="MS Mincho" w:hAnsi="Times New Roman" w:cs="Times New Roman"/>
              <w:kern w:val="0"/>
              <w:sz w:val="24"/>
              <w:szCs w:val="24"/>
              <w14:ligatures w14:val="none"/>
            </w:rPr>
            <w:fldChar w:fldCharType="separate"/>
          </w:r>
          <w:hyperlink w:anchor="_Toc159239313" w:history="1">
            <w:r w:rsidR="005319A8" w:rsidRPr="00F66BF0">
              <w:rPr>
                <w:rStyle w:val="Hypertextovodkaz"/>
                <w:noProof/>
              </w:rPr>
              <w:t>1.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IDENTIFIKAČNÍ ÚDAJE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_Toc159239313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3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012B6104" w14:textId="75D65395" w:rsidR="005319A8" w:rsidRDefault="00A75DB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59239314" w:history="1">
            <w:r w:rsidR="005319A8" w:rsidRPr="00F66BF0">
              <w:rPr>
                <w:rStyle w:val="Hypertextovodkaz"/>
                <w:noProof/>
              </w:rPr>
              <w:t>2.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Preambule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_Toc159239314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4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78358475" w14:textId="6634DFF3" w:rsidR="005319A8" w:rsidRDefault="00A75DB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59239315" w:history="1">
            <w:r w:rsidR="005319A8" w:rsidRPr="00F66BF0">
              <w:rPr>
                <w:rStyle w:val="Hypertextovodkaz"/>
                <w:noProof/>
              </w:rPr>
              <w:t>3.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Stavebně technologická opatření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_Toc159239315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5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38276A93" w14:textId="5262FB76" w:rsidR="005319A8" w:rsidRDefault="00A75DBD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59239319" w:history="1">
            <w:r w:rsidR="005319A8" w:rsidRPr="00F66BF0">
              <w:rPr>
                <w:rStyle w:val="Hypertextovodkaz"/>
                <w:noProof/>
              </w:rPr>
              <w:t>3.1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Obecné požadavky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_Toc159239319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5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5B306856" w14:textId="7332F1FB" w:rsidR="005319A8" w:rsidRDefault="00A75DBD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59239320" w:history="1">
            <w:r w:rsidR="005319A8" w:rsidRPr="00F66BF0">
              <w:rPr>
                <w:rStyle w:val="Hypertextovodkaz"/>
                <w:noProof/>
              </w:rPr>
              <w:t>3.2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Stavební opatření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_Toc159239320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5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6B1F8A66" w14:textId="0A153990" w:rsidR="005319A8" w:rsidRDefault="00A75DBD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59239321" w:history="1">
            <w:r w:rsidR="005319A8" w:rsidRPr="00F66BF0">
              <w:rPr>
                <w:rStyle w:val="Hypertextovodkaz"/>
                <w:rFonts w:eastAsia="MS Mincho" w:cs="Arial"/>
                <w:bCs/>
                <w:i/>
                <w:noProof/>
                <w:kern w:val="0"/>
                <w:lang w:eastAsia="cs-CZ"/>
                <w14:ligatures w14:val="none"/>
              </w:rPr>
              <w:t>3.3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Instalace FVE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_Toc159239321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6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340D5F1F" w14:textId="22A79233" w:rsidR="005319A8" w:rsidRDefault="00A75DBD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59239322" w:history="1">
            <w:r w:rsidR="005319A8" w:rsidRPr="00F66BF0">
              <w:rPr>
                <w:rStyle w:val="Hypertextovodkaz"/>
                <w:noProof/>
              </w:rPr>
              <w:t>3.4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Modernizace vnitřního osvětlení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_Toc159239322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6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0006E9AE" w14:textId="117B2B35" w:rsidR="005319A8" w:rsidRDefault="00A75DBD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59239323" w:history="1">
            <w:r w:rsidR="005319A8" w:rsidRPr="00F66BF0">
              <w:rPr>
                <w:rStyle w:val="Hypertextovodkaz"/>
                <w:noProof/>
              </w:rPr>
              <w:t>3.5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Instalace systému IRC a hydraulické vyvážení otopné soustavy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_Toc159239323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7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243F5B48" w14:textId="6A7E1D65" w:rsidR="005319A8" w:rsidRDefault="00A75DB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59239324" w:history="1">
            <w:r w:rsidR="005319A8" w:rsidRPr="00F66BF0">
              <w:rPr>
                <w:rStyle w:val="Hypertextovodkaz"/>
                <w:noProof/>
              </w:rPr>
              <w:t>4.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Úsporná opatření navržená účastníkem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_Toc159239324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7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2D9D8CEF" w14:textId="0E21C212" w:rsidR="005319A8" w:rsidRDefault="00A75DB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59239325" w:history="1">
            <w:r w:rsidR="005319A8" w:rsidRPr="00F66BF0">
              <w:rPr>
                <w:rStyle w:val="Hypertextovodkaz"/>
                <w:noProof/>
              </w:rPr>
              <w:t>5.</w:t>
            </w:r>
            <w:r w:rsidR="005319A8"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="005319A8" w:rsidRPr="00F66BF0">
              <w:rPr>
                <w:rStyle w:val="Hypertextovodkaz"/>
                <w:noProof/>
              </w:rPr>
              <w:t>Přílohy:</w:t>
            </w:r>
            <w:r w:rsidR="005319A8">
              <w:rPr>
                <w:noProof/>
                <w:webHidden/>
              </w:rPr>
              <w:tab/>
            </w:r>
            <w:r w:rsidR="005319A8">
              <w:rPr>
                <w:noProof/>
                <w:webHidden/>
              </w:rPr>
              <w:fldChar w:fldCharType="begin"/>
            </w:r>
            <w:r w:rsidR="005319A8">
              <w:rPr>
                <w:noProof/>
                <w:webHidden/>
              </w:rPr>
              <w:instrText xml:space="preserve"> PAGEREF _Toc159239325 \h </w:instrText>
            </w:r>
            <w:r w:rsidR="005319A8">
              <w:rPr>
                <w:noProof/>
                <w:webHidden/>
              </w:rPr>
            </w:r>
            <w:r w:rsidR="005319A8">
              <w:rPr>
                <w:noProof/>
                <w:webHidden/>
              </w:rPr>
              <w:fldChar w:fldCharType="separate"/>
            </w:r>
            <w:r w:rsidR="005319A8">
              <w:rPr>
                <w:noProof/>
                <w:webHidden/>
              </w:rPr>
              <w:t>8</w:t>
            </w:r>
            <w:r w:rsidR="005319A8">
              <w:rPr>
                <w:noProof/>
                <w:webHidden/>
              </w:rPr>
              <w:fldChar w:fldCharType="end"/>
            </w:r>
          </w:hyperlink>
        </w:p>
        <w:p w14:paraId="71435E03" w14:textId="103481A5" w:rsidR="00FF45A5" w:rsidRPr="00FF45A5" w:rsidRDefault="00FF45A5" w:rsidP="00FF45A5">
          <w:pPr>
            <w:spacing w:after="0" w:line="240" w:lineRule="auto"/>
            <w:rPr>
              <w:rFonts w:ascii="Times New Roman" w:eastAsia="MS Mincho" w:hAnsi="Times New Roman" w:cs="Times New Roman"/>
              <w:kern w:val="0"/>
              <w:sz w:val="24"/>
              <w:szCs w:val="24"/>
              <w14:ligatures w14:val="none"/>
            </w:rPr>
          </w:pPr>
          <w:r w:rsidRPr="00FF45A5">
            <w:rPr>
              <w:rFonts w:ascii="Times New Roman" w:eastAsia="MS Mincho" w:hAnsi="Times New Roman" w:cs="Times New Roman"/>
              <w:b/>
              <w:bCs/>
              <w:kern w:val="0"/>
              <w:sz w:val="24"/>
              <w:szCs w:val="24"/>
              <w14:ligatures w14:val="none"/>
            </w:rPr>
            <w:fldChar w:fldCharType="end"/>
          </w:r>
        </w:p>
      </w:sdtContent>
    </w:sdt>
    <w:p w14:paraId="407A97DE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  <w:r w:rsidRPr="00FF45A5">
        <w:rPr>
          <w:rFonts w:ascii="Times New Roman" w:eastAsia="MS Mincho" w:hAnsi="Times New Roman" w:cs="Times New Roman"/>
          <w:caps/>
          <w:kern w:val="0"/>
          <w:sz w:val="36"/>
          <w:szCs w:val="36"/>
          <w14:ligatures w14:val="none"/>
        </w:rPr>
        <w:br w:type="page"/>
      </w:r>
    </w:p>
    <w:p w14:paraId="3A210660" w14:textId="77777777" w:rsidR="00FF45A5" w:rsidRPr="00F55B2C" w:rsidRDefault="00FF45A5" w:rsidP="00F55B2C">
      <w:pPr>
        <w:pStyle w:val="Nadpis1"/>
        <w:numPr>
          <w:ilvl w:val="0"/>
          <w:numId w:val="4"/>
        </w:numPr>
      </w:pPr>
      <w:bookmarkStart w:id="0" w:name="_Toc118753435"/>
      <w:bookmarkStart w:id="1" w:name="_Toc159239313"/>
      <w:r w:rsidRPr="00F55B2C">
        <w:lastRenderedPageBreak/>
        <w:t>IDENTIFIKAČNÍ ÚDAJE</w:t>
      </w:r>
      <w:bookmarkEnd w:id="0"/>
      <w:bookmarkEnd w:id="1"/>
    </w:p>
    <w:p w14:paraId="4C70E4A7" w14:textId="77777777" w:rsidR="00F51121" w:rsidRDefault="00F51121" w:rsidP="00F51121">
      <w:pPr>
        <w:pStyle w:val="MainText"/>
        <w:spacing w:after="240"/>
        <w:rPr>
          <w:b/>
          <w:bCs/>
        </w:rPr>
      </w:pPr>
      <w:r>
        <w:rPr>
          <w:b/>
          <w:bCs/>
        </w:rPr>
        <w:t>Klient</w:t>
      </w: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4396"/>
      </w:tblGrid>
      <w:tr w:rsidR="00F51121" w14:paraId="569C1144" w14:textId="77777777" w:rsidTr="00F51121">
        <w:trPr>
          <w:trHeight w:val="20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0AAB2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Zadavatel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21D8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aps/>
              </w:rPr>
              <w:t xml:space="preserve">Nemocnice Břeclav </w:t>
            </w:r>
            <w:proofErr w:type="spellStart"/>
            <w:r>
              <w:rPr>
                <w:rFonts w:ascii="Arial" w:hAnsi="Arial" w:cs="Arial"/>
                <w:b/>
                <w:bCs/>
              </w:rPr>
              <w:t>p.o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F51121" w14:paraId="029A4C9E" w14:textId="77777777" w:rsidTr="00F51121">
        <w:trPr>
          <w:trHeight w:val="20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F4794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</w:rPr>
              <w:t>Sídlo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9C57E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</w:rPr>
              <w:t>U Nemocnice 3066/1 69002 Břeclav</w:t>
            </w:r>
          </w:p>
        </w:tc>
      </w:tr>
      <w:tr w:rsidR="00F51121" w14:paraId="707279AB" w14:textId="77777777" w:rsidTr="00F51121">
        <w:trPr>
          <w:trHeight w:val="20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F4B4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</w:rPr>
              <w:t>IČO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9D26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</w:rPr>
              <w:t>00390780</w:t>
            </w:r>
          </w:p>
        </w:tc>
      </w:tr>
      <w:tr w:rsidR="00F51121" w14:paraId="293F01A5" w14:textId="77777777" w:rsidTr="00F51121">
        <w:trPr>
          <w:trHeight w:val="20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7E2B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Statutární zástupce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2AF0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</w:rPr>
              <w:t>Ing. Petr Baťka, ředitel</w:t>
            </w:r>
          </w:p>
        </w:tc>
      </w:tr>
      <w:tr w:rsidR="00F51121" w14:paraId="70E263C4" w14:textId="77777777" w:rsidTr="00F51121">
        <w:trPr>
          <w:trHeight w:val="20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E337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</w:rPr>
              <w:t>Kontaktní osoba: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FB1BD" w14:textId="77777777" w:rsidR="00F51121" w:rsidRDefault="00F51121">
            <w:pPr>
              <w:spacing w:before="60" w:after="60" w:line="25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</w:rPr>
              <w:t>Ing. Václav Mikulica</w:t>
            </w:r>
          </w:p>
        </w:tc>
      </w:tr>
    </w:tbl>
    <w:p w14:paraId="381A5AAD" w14:textId="77777777" w:rsidR="00F51121" w:rsidRDefault="00F51121" w:rsidP="00F51121">
      <w:pPr>
        <w:pStyle w:val="MainText"/>
        <w:spacing w:after="240"/>
        <w:rPr>
          <w:b/>
          <w:bCs/>
        </w:rPr>
      </w:pPr>
      <w:r>
        <w:rPr>
          <w:b/>
          <w:bCs/>
        </w:rPr>
        <w:t>Zpracovatel</w:t>
      </w: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4396"/>
      </w:tblGrid>
      <w:tr w:rsidR="00F51121" w14:paraId="55E80730" w14:textId="77777777" w:rsidTr="00F51121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7E14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Název firmy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C04C" w14:textId="77777777" w:rsidR="00F51121" w:rsidRDefault="00F51121">
            <w:pPr>
              <w:pStyle w:val="MainText"/>
              <w:spacing w:before="0" w:line="256" w:lineRule="auto"/>
              <w:jc w:val="left"/>
              <w:rPr>
                <w:b/>
                <w:bCs/>
                <w:kern w:val="2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>Plus Projekt, s.r.o.</w:t>
            </w:r>
          </w:p>
        </w:tc>
      </w:tr>
      <w:tr w:rsidR="00F51121" w14:paraId="3840C135" w14:textId="77777777" w:rsidTr="00F51121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8A5A3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14:ligatures w14:val="standardContextual"/>
              </w:rPr>
              <w:t>Sídlo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38F3" w14:textId="77777777" w:rsidR="00F51121" w:rsidRDefault="00F51121">
            <w:pPr>
              <w:pStyle w:val="MainText"/>
              <w:spacing w:before="0" w:line="256" w:lineRule="auto"/>
              <w:jc w:val="left"/>
              <w:rPr>
                <w:kern w:val="2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14:ligatures w14:val="standardContextual"/>
              </w:rPr>
              <w:t>třída Kpt. Jaroše 13 602 00 Brno</w:t>
            </w:r>
          </w:p>
        </w:tc>
      </w:tr>
      <w:tr w:rsidR="00F51121" w14:paraId="5EB0CC8E" w14:textId="77777777" w:rsidTr="00F51121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DC8E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IČO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064E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08671427</w:t>
            </w:r>
          </w:p>
        </w:tc>
      </w:tr>
      <w:tr w:rsidR="00F51121" w14:paraId="17F69D86" w14:textId="77777777" w:rsidTr="00F51121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44EB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DIČ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C357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CZ 08671427</w:t>
            </w:r>
          </w:p>
        </w:tc>
      </w:tr>
      <w:tr w:rsidR="00F51121" w14:paraId="5D157096" w14:textId="77777777" w:rsidTr="00F51121">
        <w:trPr>
          <w:jc w:val="center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5EB01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Řešitelský tým</w:t>
            </w:r>
          </w:p>
        </w:tc>
      </w:tr>
      <w:tr w:rsidR="00F51121" w14:paraId="48B4C1CF" w14:textId="77777777" w:rsidTr="00F51121">
        <w:trPr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01A3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Vypracoval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8735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Ing. Šárka Gazdíková</w:t>
            </w:r>
          </w:p>
          <w:p w14:paraId="2D43D08D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Ing Zdeněk Bohutínský</w:t>
            </w:r>
          </w:p>
          <w:p w14:paraId="1DA471F7" w14:textId="77777777" w:rsidR="00F51121" w:rsidRDefault="00F51121">
            <w:pPr>
              <w:pStyle w:val="Tabletext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Ing Ondřej Němec</w:t>
            </w:r>
          </w:p>
        </w:tc>
      </w:tr>
    </w:tbl>
    <w:p w14:paraId="1E318AE7" w14:textId="77777777" w:rsidR="00FF45A5" w:rsidRPr="00FF45A5" w:rsidRDefault="00FF45A5" w:rsidP="00FF45A5">
      <w:pPr>
        <w:rPr>
          <w:rFonts w:ascii="Verdana" w:eastAsia="MS Mincho" w:hAnsi="Verdana" w:cs="Times New Roman"/>
          <w:b/>
          <w:kern w:val="0"/>
          <w:sz w:val="36"/>
          <w:szCs w:val="36"/>
          <w:lang w:eastAsia="en-GB"/>
          <w14:ligatures w14:val="none"/>
        </w:rPr>
      </w:pPr>
      <w:r w:rsidRPr="00FF45A5">
        <w:rPr>
          <w:rFonts w:ascii="Times New Roman" w:eastAsia="MS Mincho" w:hAnsi="Times New Roman" w:cs="Times New Roman"/>
          <w:caps/>
          <w:kern w:val="0"/>
          <w:sz w:val="36"/>
          <w:szCs w:val="36"/>
          <w14:ligatures w14:val="none"/>
        </w:rPr>
        <w:br w:type="page"/>
      </w:r>
    </w:p>
    <w:p w14:paraId="6DAA7770" w14:textId="77777777" w:rsidR="00FF45A5" w:rsidRPr="00F143F9" w:rsidRDefault="00FF45A5" w:rsidP="00F143F9">
      <w:pPr>
        <w:pStyle w:val="Nadpis1"/>
        <w:numPr>
          <w:ilvl w:val="0"/>
          <w:numId w:val="4"/>
        </w:numPr>
      </w:pPr>
      <w:bookmarkStart w:id="2" w:name="_Toc122530535"/>
      <w:bookmarkStart w:id="3" w:name="_Toc159239314"/>
      <w:r w:rsidRPr="00F143F9">
        <w:lastRenderedPageBreak/>
        <w:t>Preambule</w:t>
      </w:r>
      <w:bookmarkEnd w:id="2"/>
      <w:bookmarkEnd w:id="3"/>
      <w:r w:rsidRPr="00F143F9">
        <w:t xml:space="preserve"> </w:t>
      </w:r>
    </w:p>
    <w:p w14:paraId="56C67E11" w14:textId="77777777" w:rsidR="00E34F44" w:rsidRPr="00E34F44" w:rsidRDefault="00E34F44" w:rsidP="00E34F44">
      <w:pPr>
        <w:spacing w:before="240" w:after="0" w:line="24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cs-CZ"/>
          <w14:ligatures w14:val="none"/>
        </w:rPr>
      </w:pPr>
      <w:r w:rsidRPr="00E34F44">
        <w:rPr>
          <w:rFonts w:ascii="Verdana" w:eastAsia="Times New Roman" w:hAnsi="Verdana"/>
          <w:sz w:val="20"/>
          <w:szCs w:val="20"/>
          <w:lang w:eastAsia="cs-CZ"/>
        </w:rPr>
        <w:t xml:space="preserve">Níže uvedená požadovaná opatření jsou indikativní a účastník je oprávněn navrhovat další relevantní opatření, která mají v kontextu návrhu řešení účastníka smysl. O níže uvedených požadovaných opatřeních a opatřeních navržených účastníky bude vedena </w:t>
      </w:r>
      <w:proofErr w:type="gramStart"/>
      <w:r w:rsidRPr="00E34F44">
        <w:rPr>
          <w:rFonts w:ascii="Verdana" w:eastAsia="Times New Roman" w:hAnsi="Verdana"/>
          <w:sz w:val="20"/>
          <w:szCs w:val="20"/>
          <w:lang w:eastAsia="cs-CZ"/>
        </w:rPr>
        <w:t>diskuze</w:t>
      </w:r>
      <w:proofErr w:type="gramEnd"/>
      <w:r w:rsidRPr="00E34F44">
        <w:rPr>
          <w:rFonts w:ascii="Verdana" w:eastAsia="Times New Roman" w:hAnsi="Verdana"/>
          <w:sz w:val="20"/>
          <w:szCs w:val="20"/>
          <w:lang w:eastAsia="cs-CZ"/>
        </w:rPr>
        <w:t xml:space="preserve"> na jednotlivých jednáních s cílem upřesnit požadavky zadavatele do finální nabídky. </w:t>
      </w:r>
      <w:r w:rsidRPr="00E34F44">
        <w:rPr>
          <w:rFonts w:ascii="Verdana" w:eastAsia="Times New Roman" w:hAnsi="Verdana" w:cs="Times New Roman"/>
          <w:kern w:val="0"/>
          <w:sz w:val="20"/>
          <w:szCs w:val="20"/>
          <w:lang w:eastAsia="cs-CZ"/>
          <w14:ligatures w14:val="none"/>
        </w:rPr>
        <w:t xml:space="preserve">V celkovém souhrnu však projekt a jednotlivá opatření navržená účastníkem musí plnit okrajové podmínky 38. Výzvy. Komplexní úsporné projekty na veřejných budovách „Operačního programu Životní prostředí 2021–2027. Okrajové podmínky jsou přílohou Zadávacích podmínek. </w:t>
      </w:r>
    </w:p>
    <w:p w14:paraId="3FB4F461" w14:textId="420A11AA" w:rsidR="00FF45A5" w:rsidRPr="00FF45A5" w:rsidRDefault="00722B78" w:rsidP="00FF45A5">
      <w:pPr>
        <w:spacing w:before="120" w:after="120" w:line="240" w:lineRule="auto"/>
        <w:jc w:val="both"/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cs-CZ"/>
          <w14:ligatures w14:val="none"/>
        </w:rPr>
      </w:pPr>
      <w:r w:rsidRPr="0057248F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cs-CZ"/>
          <w14:ligatures w14:val="none"/>
        </w:rPr>
        <w:t xml:space="preserve">Zadavatel upozorňuje, že za </w:t>
      </w:r>
      <w:r w:rsidR="00A06F56" w:rsidRPr="0057248F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cs-CZ"/>
          <w14:ligatures w14:val="none"/>
        </w:rPr>
        <w:t xml:space="preserve">soulad technického řešení </w:t>
      </w:r>
      <w:r w:rsidR="00B453E1" w:rsidRPr="0057248F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cs-CZ"/>
          <w14:ligatures w14:val="none"/>
        </w:rPr>
        <w:t xml:space="preserve">s okrajovými podmínkami 38. výzvy odpovídá účastník. </w:t>
      </w:r>
      <w:r w:rsidR="00FF45A5" w:rsidRPr="00FF45A5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cs-CZ"/>
          <w14:ligatures w14:val="none"/>
        </w:rPr>
        <w:t xml:space="preserve"> </w:t>
      </w:r>
    </w:p>
    <w:p w14:paraId="159944B9" w14:textId="123984DB" w:rsidR="00C241B1" w:rsidRDefault="00C3396F" w:rsidP="00FF45A5">
      <w:pPr>
        <w:spacing w:before="120" w:after="120" w:line="24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cs-CZ"/>
          <w14:ligatures w14:val="none"/>
        </w:rPr>
      </w:pP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Detailněji jsou jednotlivá kritéria přijatelnosti popsána u jednotlivých opatření.   </w:t>
      </w:r>
    </w:p>
    <w:p w14:paraId="2F004F86" w14:textId="4B2CED52" w:rsidR="00FF45A5" w:rsidRPr="00FF45A5" w:rsidRDefault="00FF45A5" w:rsidP="00FF45A5">
      <w:pPr>
        <w:spacing w:before="120" w:after="120" w:line="24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cs-CZ"/>
          <w14:ligatures w14:val="none"/>
        </w:rPr>
      </w:pPr>
      <w:r w:rsidRPr="00FF45A5">
        <w:rPr>
          <w:rFonts w:ascii="Verdana" w:eastAsia="Times New Roman" w:hAnsi="Verdana" w:cs="Times New Roman"/>
          <w:kern w:val="0"/>
          <w:sz w:val="20"/>
          <w:szCs w:val="20"/>
          <w:lang w:eastAsia="cs-CZ"/>
          <w14:ligatures w14:val="none"/>
        </w:rPr>
        <w:t xml:space="preserve">Zadavatel bude v rámci předmětné veřejné zakázky od účastníků vyžadovat, aby součástí poskytnutých služeb, vymezených touto přílohou a budoucí smlouvou, byly tyto služby, případně dodávky pro jejich zajištění. Zadavatel dodává, že tato příloha bude v průběhu jednání doplňována do finální podoby, jenž bude součástí finální zadávací dokumentace. </w:t>
      </w:r>
    </w:p>
    <w:p w14:paraId="39F79515" w14:textId="77777777" w:rsidR="00FF45A5" w:rsidRPr="00FF45A5" w:rsidRDefault="00FF45A5" w:rsidP="00FF45A5">
      <w:pPr>
        <w:spacing w:before="240"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Na základě zjištění zpracovatele těchto analýz byly na základě jeho odborných znalostí a zkušeností vybrány hlavní okruhy energeticky úsporných opatření, která jsou svou povahou vhodné pro realizaci (a financování) prostřednictvím EPC, jedná se obecně o následující opatření:</w:t>
      </w:r>
    </w:p>
    <w:p w14:paraId="6A1F1274" w14:textId="77777777" w:rsidR="00FF45A5" w:rsidRPr="00FF45A5" w:rsidRDefault="00FF45A5" w:rsidP="00FF45A5">
      <w:pPr>
        <w:numPr>
          <w:ilvl w:val="0"/>
          <w:numId w:val="1"/>
        </w:numPr>
        <w:spacing w:before="240"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  <w:t xml:space="preserve">Stavební opatření - </w:t>
      </w: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Navrhovaná opatření v oblasti stavebních úprav byla stanovena tak, aby byly dosaženy u jednotlivých stavebních konstrukcí nejvýše doporučené hodnoty součinitelů prostupu tepla a současně, aby celková průměrná hodnota prostupu tepla obálkou objektu dosahovala úrovně minimálně požadované dle ČSN 730540-2/2011 </w:t>
      </w:r>
      <w:proofErr w:type="gramStart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a  </w:t>
      </w:r>
      <w:proofErr w:type="spellStart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vyhl</w:t>
      </w:r>
      <w:proofErr w:type="spellEnd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.</w:t>
      </w:r>
      <w:proofErr w:type="gramEnd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264/2020 Sb., o energetické náročnosti budov, ve znění pozdějších předpisů, pokud je to technicky možné.</w:t>
      </w:r>
    </w:p>
    <w:p w14:paraId="4513E573" w14:textId="03D7D79E" w:rsidR="00FF45A5" w:rsidRPr="00FF45A5" w:rsidRDefault="00FF45A5" w:rsidP="00FF45A5">
      <w:pPr>
        <w:numPr>
          <w:ilvl w:val="0"/>
          <w:numId w:val="1"/>
        </w:numPr>
        <w:spacing w:before="240"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  <w:t>Modernizace vnitřního osvětlení</w:t>
      </w: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– v rámci modernizace osvětlení se předpokládá výměna veškerého zářivkového, žárovkového a případně i výbojkového osvětlení. V případě náhrady žárovkových zdrojů se bude jednat o náhradu klasické žárovky za LED žárovku se stejnou paticí. V případě náhrady zářivkových svítidel se bude jednat o náhradu celého osvětlovacího tělesa za nové LED svítidlo</w:t>
      </w:r>
      <w:r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</w:t>
      </w:r>
      <w:r w:rsidRPr="00FF45A5"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  <w:t>včetně modernizace elektroinstalace</w:t>
      </w:r>
      <w:r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. </w:t>
      </w:r>
    </w:p>
    <w:p w14:paraId="2756498A" w14:textId="77777777" w:rsidR="00FF45A5" w:rsidRPr="00FF45A5" w:rsidRDefault="00FF45A5" w:rsidP="00FF45A5">
      <w:pPr>
        <w:numPr>
          <w:ilvl w:val="0"/>
          <w:numId w:val="1"/>
        </w:numPr>
        <w:spacing w:before="240" w:after="0" w:line="240" w:lineRule="auto"/>
        <w:jc w:val="both"/>
        <w:rPr>
          <w:rFonts w:ascii="Verdana" w:eastAsia="MS Mincho" w:hAnsi="Verdana" w:cs="Times New Roman"/>
          <w:color w:val="000000"/>
          <w:kern w:val="0"/>
          <w:sz w:val="20"/>
          <w:szCs w:val="24"/>
          <w14:ligatures w14:val="none"/>
        </w:rPr>
      </w:pPr>
      <w:r w:rsidRPr="00FF45A5"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  <w:t>Instalace systému IRC a hydraulické vyvážení otopné soustavy</w:t>
      </w: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– instalace tzv. programové regulace teploty (IRC – </w:t>
      </w:r>
      <w:proofErr w:type="spellStart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Individual</w:t>
      </w:r>
      <w:proofErr w:type="spellEnd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Room</w:t>
      </w:r>
      <w:proofErr w:type="spellEnd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Control</w:t>
      </w:r>
      <w:proofErr w:type="spellEnd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) jednotlivých místností je v současné době jedním z nejmodernějších způsobů, jak dosáhnout požadované kvality vnitřního prostředí při dosažení co největších úspor tepla. Na jednotlivých otopných tělesech jsou v tomto případě osazeny ventily se servopohony ovládající plynule průtok topného média škrcením radiátorového ventilu. Systém je centrálně řízen počítačem podle nastaveného programu, a na základě porovnání vnitřní teploty v daném místě otopného tělesa a přednastavené hodnoty je regulován průtok topné vody do těles. Výhodou je přesné docílení požadovaných teplot v interiéru, režim tlumeného provozu v určitých prostorech, pokud nejsou </w:t>
      </w:r>
      <w:r w:rsidRPr="00FF45A5">
        <w:rPr>
          <w:rFonts w:ascii="Verdana" w:eastAsia="MS Mincho" w:hAnsi="Verdana" w:cs="Times New Roman"/>
          <w:color w:val="000000"/>
          <w:kern w:val="0"/>
          <w:sz w:val="20"/>
          <w:szCs w:val="20"/>
          <w14:ligatures w14:val="none"/>
        </w:rPr>
        <w:t>využívány a dále automatické okamžité, ale i dlouhodobé vyhodnocování spotřeb energie.</w:t>
      </w:r>
    </w:p>
    <w:p w14:paraId="34500807" w14:textId="77777777" w:rsidR="00FF45A5" w:rsidRPr="00B33C7A" w:rsidRDefault="00FF45A5" w:rsidP="00FF45A5">
      <w:pPr>
        <w:numPr>
          <w:ilvl w:val="0"/>
          <w:numId w:val="1"/>
        </w:numPr>
        <w:spacing w:before="240" w:after="0" w:line="240" w:lineRule="auto"/>
        <w:jc w:val="both"/>
        <w:rPr>
          <w:rFonts w:ascii="Verdana" w:eastAsia="MS Mincho" w:hAnsi="Verdana" w:cs="Arial"/>
          <w:b/>
          <w:bCs/>
          <w:caps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  <w:t xml:space="preserve">Instalace FVE – </w:t>
      </w: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instalace FVE na vybrané střešní konstrukce budov </w:t>
      </w:r>
      <w:bookmarkStart w:id="4" w:name="_Toc122530536"/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dle podmínek dotačního titulu.</w:t>
      </w:r>
    </w:p>
    <w:p w14:paraId="3A35F873" w14:textId="77777777" w:rsidR="00B33C7A" w:rsidRPr="00FF45A5" w:rsidRDefault="00B33C7A" w:rsidP="00DC4FEA">
      <w:pPr>
        <w:spacing w:before="240" w:after="0" w:line="240" w:lineRule="auto"/>
        <w:ind w:left="720"/>
        <w:jc w:val="both"/>
        <w:rPr>
          <w:rFonts w:ascii="Verdana" w:eastAsia="MS Mincho" w:hAnsi="Verdana" w:cs="Arial"/>
          <w:b/>
          <w:bCs/>
          <w:caps/>
          <w:kern w:val="0"/>
          <w:sz w:val="20"/>
          <w:szCs w:val="20"/>
          <w14:ligatures w14:val="none"/>
        </w:rPr>
      </w:pPr>
    </w:p>
    <w:p w14:paraId="3CFEB317" w14:textId="6BCCAD16" w:rsidR="00B33C7A" w:rsidRPr="00FF45A5" w:rsidRDefault="00B33C7A" w:rsidP="00B33C7A">
      <w:pPr>
        <w:pStyle w:val="Nadpis1"/>
        <w:numPr>
          <w:ilvl w:val="0"/>
          <w:numId w:val="4"/>
        </w:numPr>
      </w:pPr>
      <w:bookmarkStart w:id="5" w:name="_Toc159239315"/>
      <w:r w:rsidRPr="00B33C7A">
        <w:lastRenderedPageBreak/>
        <w:t>Stavebně technologická opatření</w:t>
      </w:r>
      <w:bookmarkEnd w:id="5"/>
      <w:r w:rsidRPr="00B33C7A">
        <w:t xml:space="preserve"> </w:t>
      </w:r>
    </w:p>
    <w:p w14:paraId="16295DBE" w14:textId="77777777" w:rsidR="00664110" w:rsidRPr="00664110" w:rsidRDefault="00664110" w:rsidP="00664110">
      <w:pPr>
        <w:pStyle w:val="Odstavecseseznamem"/>
        <w:keepNext/>
        <w:keepLines/>
        <w:numPr>
          <w:ilvl w:val="0"/>
          <w:numId w:val="7"/>
        </w:numPr>
        <w:spacing w:before="360" w:after="80"/>
        <w:contextualSpacing w:val="0"/>
        <w:outlineLvl w:val="0"/>
        <w:rPr>
          <w:rFonts w:ascii="Verdana" w:eastAsiaTheme="majorEastAsia" w:hAnsi="Verdana" w:cstheme="majorBidi"/>
          <w:b/>
          <w:caps/>
          <w:vanish/>
          <w:sz w:val="24"/>
          <w:szCs w:val="40"/>
        </w:rPr>
      </w:pPr>
      <w:bookmarkStart w:id="6" w:name="_Toc159238345"/>
      <w:bookmarkStart w:id="7" w:name="_Toc159238346"/>
      <w:bookmarkStart w:id="8" w:name="_Toc159238347"/>
      <w:bookmarkStart w:id="9" w:name="_Toc159239316"/>
      <w:bookmarkEnd w:id="4"/>
      <w:bookmarkEnd w:id="6"/>
      <w:bookmarkEnd w:id="7"/>
      <w:bookmarkEnd w:id="8"/>
      <w:bookmarkEnd w:id="9"/>
    </w:p>
    <w:p w14:paraId="6C915533" w14:textId="77777777" w:rsidR="00664110" w:rsidRPr="00664110" w:rsidRDefault="00664110" w:rsidP="00664110">
      <w:pPr>
        <w:pStyle w:val="Odstavecseseznamem"/>
        <w:keepNext/>
        <w:keepLines/>
        <w:numPr>
          <w:ilvl w:val="0"/>
          <w:numId w:val="7"/>
        </w:numPr>
        <w:spacing w:before="360" w:after="80"/>
        <w:contextualSpacing w:val="0"/>
        <w:outlineLvl w:val="0"/>
        <w:rPr>
          <w:rFonts w:ascii="Verdana" w:eastAsiaTheme="majorEastAsia" w:hAnsi="Verdana" w:cstheme="majorBidi"/>
          <w:b/>
          <w:caps/>
          <w:vanish/>
          <w:sz w:val="24"/>
          <w:szCs w:val="40"/>
        </w:rPr>
      </w:pPr>
      <w:bookmarkStart w:id="10" w:name="_Toc159239317"/>
      <w:bookmarkEnd w:id="10"/>
    </w:p>
    <w:p w14:paraId="73C98C1D" w14:textId="77777777" w:rsidR="00664110" w:rsidRPr="00664110" w:rsidRDefault="00664110" w:rsidP="00664110">
      <w:pPr>
        <w:pStyle w:val="Odstavecseseznamem"/>
        <w:keepNext/>
        <w:keepLines/>
        <w:numPr>
          <w:ilvl w:val="0"/>
          <w:numId w:val="7"/>
        </w:numPr>
        <w:spacing w:before="360" w:after="80"/>
        <w:contextualSpacing w:val="0"/>
        <w:outlineLvl w:val="0"/>
        <w:rPr>
          <w:rFonts w:ascii="Verdana" w:eastAsiaTheme="majorEastAsia" w:hAnsi="Verdana" w:cstheme="majorBidi"/>
          <w:b/>
          <w:caps/>
          <w:vanish/>
          <w:sz w:val="24"/>
          <w:szCs w:val="40"/>
        </w:rPr>
      </w:pPr>
      <w:bookmarkStart w:id="11" w:name="_Toc159239318"/>
      <w:bookmarkEnd w:id="11"/>
    </w:p>
    <w:p w14:paraId="62985746" w14:textId="1E7E7134" w:rsidR="00FF45A5" w:rsidRPr="00FF45A5" w:rsidRDefault="00FF45A5" w:rsidP="00664110">
      <w:pPr>
        <w:pStyle w:val="Nadpis2"/>
      </w:pPr>
      <w:bookmarkStart w:id="12" w:name="_Toc159239319"/>
      <w:r w:rsidRPr="00FF45A5">
        <w:t>Obecné požadavky</w:t>
      </w:r>
      <w:bookmarkEnd w:id="12"/>
    </w:p>
    <w:p w14:paraId="580DBE06" w14:textId="5ED5DDA8" w:rsidR="0033453F" w:rsidRDefault="0033453F" w:rsidP="00FF45A5">
      <w:pPr>
        <w:spacing w:before="240"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Účastník navrhne stejn</w:t>
      </w:r>
      <w:r w:rsidR="004116DE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á</w:t>
      </w:r>
      <w:r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nebo lepší technick</w:t>
      </w:r>
      <w:r w:rsidR="004116DE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á</w:t>
      </w:r>
      <w:r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opatření</w:t>
      </w:r>
      <w:r w:rsidR="004116DE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,</w:t>
      </w:r>
      <w:r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kter</w:t>
      </w:r>
      <w:r w:rsidR="004116DE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á</w:t>
      </w:r>
      <w:r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zajistí splnění požadovaných okrajových podmínek. </w:t>
      </w:r>
    </w:p>
    <w:p w14:paraId="09590946" w14:textId="6BEF45AF" w:rsidR="00FF45A5" w:rsidRPr="00FF45A5" w:rsidRDefault="00FF45A5" w:rsidP="00FF45A5">
      <w:pPr>
        <w:spacing w:before="240"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Zadavatel požaduje, aby technická opatření navržená účastníkem splňovala okrajové podmínky 38 výzvy Komplexní úsporné projekty na veřejných budovách „Operačního programu Životní prostředí 2021–2027.</w:t>
      </w:r>
      <w:r w:rsidR="00FD01F9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</w:t>
      </w: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Okrajové podmínky jsou přílohou Zadávacích podmínek. </w:t>
      </w:r>
    </w:p>
    <w:p w14:paraId="37C58B09" w14:textId="7CA4420B" w:rsidR="00FF45A5" w:rsidRDefault="00FF45A5" w:rsidP="00FF45A5">
      <w:pPr>
        <w:spacing w:before="240"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Zadavatel požaduje, aby realizací projektu došlo k min. úspoře </w:t>
      </w:r>
      <w:r w:rsidRPr="00FF45A5"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  <w:t>40 %</w:t>
      </w: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primární energie z neobnovitelných zdrojů oproti původnímu stavu.</w:t>
      </w:r>
      <w:r w:rsidR="000552FC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</w:t>
      </w:r>
    </w:p>
    <w:p w14:paraId="7CB0C15B" w14:textId="77777777" w:rsidR="00A9239A" w:rsidRDefault="00F626BF" w:rsidP="00FF45A5">
      <w:pPr>
        <w:spacing w:before="240"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Úspora primární energie z neobnovitelných zdrojů vychází </w:t>
      </w:r>
      <w:r w:rsidR="00B60F21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ze</w:t>
      </w:r>
      <w:r w:rsidR="007E6228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spotřeb energie před realizací projektu</w:t>
      </w:r>
      <w:r w:rsidR="00A42981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. Výchozí </w:t>
      </w:r>
      <w:r w:rsidR="00047762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hodnoty</w:t>
      </w:r>
      <w:r w:rsidR="00A42981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j</w:t>
      </w:r>
      <w:r w:rsidR="00047762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sou</w:t>
      </w:r>
      <w:r w:rsidR="00A42981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uveden</w:t>
      </w:r>
      <w:r w:rsidR="00047762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y</w:t>
      </w:r>
      <w:r w:rsidR="00A42981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 v popisu </w:t>
      </w:r>
      <w:r w:rsidR="00F24CEC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skutečného stavu. </w:t>
      </w:r>
    </w:p>
    <w:p w14:paraId="71204519" w14:textId="77777777" w:rsidR="005D1DFF" w:rsidRDefault="005D1DFF" w:rsidP="005D1DFF">
      <w:pPr>
        <w:spacing w:before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Úspora primární energie z neobnovitelných zdrojů vychází ze spotřeb energie před realizací projektu. Výchozí hodnoty jsou uvedeny v přehledové tabulce v záložce indikátory, kterou účastník doplní o stav po realizaci projektu. </w:t>
      </w:r>
    </w:p>
    <w:p w14:paraId="04E622CA" w14:textId="77777777" w:rsidR="003E07F8" w:rsidRDefault="003E07F8" w:rsidP="003E07F8">
      <w:pPr>
        <w:spacing w:before="240"/>
        <w:jc w:val="both"/>
        <w:rPr>
          <w:rFonts w:ascii="Verdana" w:eastAsia="Times New Roman" w:hAnsi="Verdana"/>
          <w:sz w:val="20"/>
          <w:szCs w:val="20"/>
          <w:lang w:eastAsia="cs-CZ"/>
        </w:rPr>
      </w:pPr>
      <w:r>
        <w:rPr>
          <w:rFonts w:ascii="Verdana" w:eastAsia="Times New Roman" w:hAnsi="Verdana"/>
          <w:sz w:val="20"/>
          <w:szCs w:val="20"/>
          <w:lang w:eastAsia="cs-CZ"/>
        </w:rPr>
        <w:t>Toto snížení bude měřeno v energetických jednotkách a bude zároveň uvedeno jako závazek v příloze smlouvy. Každoroční plnění tohoto závazku bude doloženo v roční průběžné zprávě spolu s vyhodnocením dosažených úspor.</w:t>
      </w:r>
    </w:p>
    <w:p w14:paraId="3073B27C" w14:textId="67890259" w:rsidR="00FF45A5" w:rsidRPr="00FF45A5" w:rsidRDefault="00FF45A5" w:rsidP="00FF45A5">
      <w:pPr>
        <w:spacing w:before="240"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 xml:space="preserve">Detailněji jsou jednotlivá kritéria přijatelnosti popsána u jednotlivých opatření.   </w:t>
      </w:r>
    </w:p>
    <w:p w14:paraId="61930D32" w14:textId="77777777" w:rsidR="00FF45A5" w:rsidRPr="00FF45A5" w:rsidRDefault="00FF45A5" w:rsidP="007B04C4">
      <w:pPr>
        <w:pStyle w:val="Nadpis2"/>
      </w:pPr>
      <w:bookmarkStart w:id="13" w:name="_Toc159239320"/>
      <w:r w:rsidRPr="00FF45A5">
        <w:t>Stavební opatření</w:t>
      </w:r>
      <w:bookmarkEnd w:id="13"/>
      <w:r w:rsidRPr="00FF45A5">
        <w:t xml:space="preserve"> </w:t>
      </w:r>
    </w:p>
    <w:p w14:paraId="1500D3E2" w14:textId="77777777" w:rsidR="00624574" w:rsidRDefault="00624574" w:rsidP="00624574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V rámci opatření zateplení, bude použit izolant s certifikátem EPD. Doložení tohoto certifikátu bude vyžadováno po realizaci akce.</w:t>
      </w:r>
    </w:p>
    <w:p w14:paraId="59272729" w14:textId="6A961065" w:rsid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Projekt </w:t>
      </w:r>
      <w:proofErr w:type="gramStart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řeší</w:t>
      </w:r>
      <w:proofErr w:type="gramEnd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 celkovou rekonstrukci a zateplení budovy zejména takto:</w:t>
      </w:r>
    </w:p>
    <w:p w14:paraId="1E50A4A7" w14:textId="77777777" w:rsidR="00DC4FEA" w:rsidRPr="00FF45A5" w:rsidRDefault="00DC4FEA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4E163067" w14:textId="77777777" w:rsidR="00FF45A5" w:rsidRPr="00FF45A5" w:rsidRDefault="00FF45A5" w:rsidP="00FF45A5">
      <w:pPr>
        <w:keepNext/>
        <w:numPr>
          <w:ilvl w:val="0"/>
          <w:numId w:val="2"/>
        </w:numPr>
        <w:spacing w:after="0" w:line="240" w:lineRule="auto"/>
        <w:jc w:val="both"/>
        <w:outlineLvl w:val="3"/>
        <w:rPr>
          <w:rFonts w:ascii="Verdana" w:eastAsia="MS Mincho" w:hAnsi="Verdana" w:cs="Arial"/>
          <w:b/>
          <w:bCs/>
          <w:i/>
          <w:kern w:val="0"/>
          <w:sz w:val="20"/>
          <w:szCs w:val="24"/>
          <w14:ligatures w14:val="none"/>
        </w:rPr>
      </w:pPr>
      <w:r w:rsidRPr="00FF45A5">
        <w:rPr>
          <w:rFonts w:ascii="Verdana" w:eastAsia="MS Mincho" w:hAnsi="Verdana" w:cs="Arial"/>
          <w:b/>
          <w:bCs/>
          <w:i/>
          <w:kern w:val="0"/>
          <w:sz w:val="20"/>
          <w:szCs w:val="24"/>
          <w14:ligatures w14:val="none"/>
        </w:rPr>
        <w:t>zateplení obvodového zdiva</w:t>
      </w:r>
    </w:p>
    <w:p w14:paraId="444BB775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27C9EDC1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Zateplení obvodového zdiva izolací </w:t>
      </w:r>
      <w:proofErr w:type="spellStart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tl</w:t>
      </w:r>
      <w:proofErr w:type="spellEnd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. 160 mm o deklarovaných vlastnostech l=0,039 W/</w:t>
      </w:r>
      <w:proofErr w:type="spellStart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mK</w:t>
      </w:r>
      <w:proofErr w:type="spellEnd"/>
    </w:p>
    <w:p w14:paraId="08B2CE52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4EA1E506" w14:textId="77777777" w:rsidR="00FF45A5" w:rsidRDefault="00FF45A5" w:rsidP="00FF45A5">
      <w:pPr>
        <w:spacing w:after="120" w:line="240" w:lineRule="auto"/>
        <w:contextualSpacing/>
        <w:jc w:val="both"/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  <w:t>Celková zateplovaná plocha obvodových stěn s </w:t>
      </w:r>
      <w:proofErr w:type="spellStart"/>
      <w:r w:rsidRPr="00FF45A5"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  <w:t>tl</w:t>
      </w:r>
      <w:proofErr w:type="spellEnd"/>
      <w:r w:rsidRPr="00FF45A5"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  <w:t>. izolantu 160 mm je 1906 m2</w:t>
      </w:r>
    </w:p>
    <w:p w14:paraId="436BB740" w14:textId="77777777" w:rsidR="00DC4FEA" w:rsidRPr="00FF45A5" w:rsidRDefault="00DC4FEA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i/>
          <w:iCs/>
          <w:kern w:val="0"/>
          <w:sz w:val="20"/>
          <w:szCs w:val="20"/>
          <w:lang w:eastAsia="ar-SA"/>
          <w14:ligatures w14:val="none"/>
        </w:rPr>
      </w:pPr>
    </w:p>
    <w:p w14:paraId="33DBEABA" w14:textId="77777777" w:rsidR="00FF45A5" w:rsidRPr="00FF45A5" w:rsidRDefault="00FF45A5" w:rsidP="00FF45A5">
      <w:pPr>
        <w:keepNext/>
        <w:numPr>
          <w:ilvl w:val="0"/>
          <w:numId w:val="2"/>
        </w:numPr>
        <w:spacing w:after="0" w:line="240" w:lineRule="auto"/>
        <w:jc w:val="both"/>
        <w:outlineLvl w:val="3"/>
        <w:rPr>
          <w:rFonts w:ascii="Verdana" w:eastAsia="MS Mincho" w:hAnsi="Verdana" w:cs="Arial"/>
          <w:b/>
          <w:bCs/>
          <w:i/>
          <w:kern w:val="0"/>
          <w:sz w:val="20"/>
          <w:szCs w:val="24"/>
          <w14:ligatures w14:val="none"/>
        </w:rPr>
      </w:pPr>
      <w:r w:rsidRPr="00FF45A5">
        <w:rPr>
          <w:rFonts w:ascii="Verdana" w:eastAsia="MS Mincho" w:hAnsi="Verdana" w:cs="Arial"/>
          <w:b/>
          <w:bCs/>
          <w:i/>
          <w:kern w:val="0"/>
          <w:sz w:val="20"/>
          <w:szCs w:val="24"/>
          <w14:ligatures w14:val="none"/>
        </w:rPr>
        <w:t>zateplení plochých střech</w:t>
      </w:r>
    </w:p>
    <w:p w14:paraId="16C8A95B" w14:textId="77777777" w:rsidR="00FF45A5" w:rsidRPr="00FF45A5" w:rsidRDefault="00FF45A5" w:rsidP="00FF45A5">
      <w:pPr>
        <w:spacing w:after="0" w:line="240" w:lineRule="auto"/>
        <w:rPr>
          <w:rFonts w:ascii="Times New Roman" w:eastAsia="MS Mincho" w:hAnsi="Times New Roman" w:cs="Times New Roman"/>
          <w:kern w:val="0"/>
          <w:sz w:val="24"/>
          <w:szCs w:val="24"/>
          <w14:ligatures w14:val="none"/>
        </w:rPr>
      </w:pPr>
    </w:p>
    <w:p w14:paraId="2B15BBFC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Zateplení střechy izolací </w:t>
      </w:r>
      <w:proofErr w:type="spellStart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tl</w:t>
      </w:r>
      <w:proofErr w:type="spellEnd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. 260 mm o deklarovaných vlastnostech l=0,039 W/</w:t>
      </w:r>
      <w:proofErr w:type="spellStart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mK</w:t>
      </w:r>
      <w:proofErr w:type="spellEnd"/>
    </w:p>
    <w:p w14:paraId="7BD987A9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63366BC8" w14:textId="77777777" w:rsidR="00FF45A5" w:rsidRDefault="00FF45A5" w:rsidP="00FF45A5">
      <w:pPr>
        <w:spacing w:after="120" w:line="240" w:lineRule="auto"/>
        <w:contextualSpacing/>
        <w:jc w:val="both"/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  <w:t>Celková zateplovaná plocha střešních konstrukcí s </w:t>
      </w:r>
      <w:proofErr w:type="spellStart"/>
      <w:r w:rsidRPr="00FF45A5"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  <w:t>tl</w:t>
      </w:r>
      <w:proofErr w:type="spellEnd"/>
      <w:r w:rsidRPr="00FF45A5"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  <w:t>. izolantu 260 mm je 648 m2</w:t>
      </w:r>
    </w:p>
    <w:p w14:paraId="3482BC65" w14:textId="77777777" w:rsidR="00DC4FEA" w:rsidRPr="00FF45A5" w:rsidRDefault="00DC4FEA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i/>
          <w:iCs/>
          <w:kern w:val="0"/>
          <w:sz w:val="20"/>
          <w:szCs w:val="20"/>
          <w:lang w:eastAsia="ar-SA"/>
          <w14:ligatures w14:val="none"/>
        </w:rPr>
      </w:pPr>
    </w:p>
    <w:p w14:paraId="39D1CE91" w14:textId="77777777" w:rsidR="00FF45A5" w:rsidRPr="00FF45A5" w:rsidRDefault="00FF45A5" w:rsidP="00FF45A5">
      <w:pPr>
        <w:keepNext/>
        <w:numPr>
          <w:ilvl w:val="0"/>
          <w:numId w:val="2"/>
        </w:numPr>
        <w:spacing w:after="0" w:line="240" w:lineRule="auto"/>
        <w:jc w:val="both"/>
        <w:outlineLvl w:val="3"/>
        <w:rPr>
          <w:rFonts w:ascii="Verdana" w:eastAsia="MS Mincho" w:hAnsi="Verdana" w:cs="Arial"/>
          <w:b/>
          <w:bCs/>
          <w:i/>
          <w:kern w:val="0"/>
          <w:sz w:val="20"/>
          <w:szCs w:val="24"/>
          <w14:ligatures w14:val="none"/>
        </w:rPr>
      </w:pPr>
      <w:r w:rsidRPr="00FF45A5">
        <w:rPr>
          <w:rFonts w:ascii="Verdana" w:eastAsia="Calibri" w:hAnsi="Verdana" w:cs="Arial"/>
          <w:b/>
          <w:bCs/>
          <w:i/>
          <w:kern w:val="0"/>
          <w:sz w:val="20"/>
          <w:szCs w:val="20"/>
          <w:lang w:eastAsia="ar-SA"/>
          <w14:ligatures w14:val="none"/>
        </w:rPr>
        <w:t>výměna otvorových výplní</w:t>
      </w:r>
    </w:p>
    <w:p w14:paraId="40EE74A1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16FD2A2B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Výměna okenních výplní za nové s izolačními vlastnostmi </w:t>
      </w:r>
      <w:proofErr w:type="spellStart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Uw</w:t>
      </w:r>
      <w:proofErr w:type="spellEnd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=0,8 W/m2K.</w:t>
      </w:r>
    </w:p>
    <w:p w14:paraId="094779C2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1616BB8E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  <w:t xml:space="preserve">Výměna se předpokládá u 759,16 m2 oken. </w:t>
      </w:r>
    </w:p>
    <w:p w14:paraId="0125F348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27F2C994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Výměna dveří za nové s izolačními vlastnostmi </w:t>
      </w:r>
      <w:proofErr w:type="spellStart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Ud</w:t>
      </w:r>
      <w:proofErr w:type="spellEnd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=0,90 W/m2K</w:t>
      </w:r>
    </w:p>
    <w:p w14:paraId="282C03FE" w14:textId="77777777" w:rsidR="00FF45A5" w:rsidRPr="00FF45A5" w:rsidRDefault="00FF45A5" w:rsidP="00FF45A5">
      <w:pPr>
        <w:spacing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3BA1E25B" w14:textId="3AE7D05B" w:rsidR="00412F42" w:rsidRDefault="00FF45A5" w:rsidP="00FF45A5">
      <w:pPr>
        <w:spacing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lastRenderedPageBreak/>
        <w:t>Výměna se předpokládá u 11,61</w:t>
      </w:r>
      <w:r w:rsidRPr="00FF45A5">
        <w:rPr>
          <w:rFonts w:ascii="Verdana" w:eastAsia="MS Mincho" w:hAnsi="Verdana" w:cs="Times New Roman"/>
          <w:i/>
          <w:iCs/>
          <w:kern w:val="0"/>
          <w:sz w:val="20"/>
          <w:szCs w:val="20"/>
          <w14:ligatures w14:val="none"/>
        </w:rPr>
        <w:t xml:space="preserve"> m2 dveří</w:t>
      </w: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.</w:t>
      </w:r>
    </w:p>
    <w:p w14:paraId="6A3113DD" w14:textId="39F382FB" w:rsidR="00412F42" w:rsidRDefault="00412F42">
      <w:pPr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</w:p>
    <w:p w14:paraId="202950E2" w14:textId="70AE0BFB" w:rsidR="00412F42" w:rsidRPr="00412F42" w:rsidRDefault="00412F42" w:rsidP="00412F42">
      <w:pPr>
        <w:pStyle w:val="Titulek"/>
        <w:keepNext/>
        <w:spacing w:after="0"/>
        <w:rPr>
          <w:rFonts w:ascii="Verdana" w:hAnsi="Verdana"/>
          <w:sz w:val="16"/>
          <w:szCs w:val="16"/>
        </w:rPr>
      </w:pPr>
      <w:r w:rsidRPr="00412F42">
        <w:rPr>
          <w:rFonts w:ascii="Verdana" w:hAnsi="Verdana"/>
          <w:sz w:val="16"/>
          <w:szCs w:val="16"/>
        </w:rPr>
        <w:t xml:space="preserve">Tabulka </w:t>
      </w:r>
      <w:r w:rsidRPr="00412F42">
        <w:rPr>
          <w:rFonts w:ascii="Verdana" w:hAnsi="Verdana"/>
          <w:sz w:val="16"/>
          <w:szCs w:val="16"/>
        </w:rPr>
        <w:fldChar w:fldCharType="begin"/>
      </w:r>
      <w:r w:rsidRPr="00412F42">
        <w:rPr>
          <w:rFonts w:ascii="Verdana" w:hAnsi="Verdana"/>
          <w:sz w:val="16"/>
          <w:szCs w:val="16"/>
        </w:rPr>
        <w:instrText xml:space="preserve"> SEQ Tabulka \* ARABIC </w:instrText>
      </w:r>
      <w:r w:rsidRPr="00412F42">
        <w:rPr>
          <w:rFonts w:ascii="Verdana" w:hAnsi="Verdana"/>
          <w:sz w:val="16"/>
          <w:szCs w:val="16"/>
        </w:rPr>
        <w:fldChar w:fldCharType="separate"/>
      </w:r>
      <w:r w:rsidRPr="00412F42">
        <w:rPr>
          <w:rFonts w:ascii="Verdana" w:hAnsi="Verdana"/>
          <w:noProof/>
          <w:sz w:val="16"/>
          <w:szCs w:val="16"/>
        </w:rPr>
        <w:t>1</w:t>
      </w:r>
      <w:r w:rsidRPr="00412F42">
        <w:rPr>
          <w:rFonts w:ascii="Verdana" w:hAnsi="Verdana"/>
          <w:sz w:val="16"/>
          <w:szCs w:val="16"/>
        </w:rPr>
        <w:fldChar w:fldCharType="end"/>
      </w:r>
      <w:r w:rsidRPr="00412F42">
        <w:rPr>
          <w:rFonts w:ascii="Verdana" w:hAnsi="Verdana"/>
          <w:sz w:val="16"/>
          <w:szCs w:val="16"/>
        </w:rPr>
        <w:t xml:space="preserve">. </w:t>
      </w:r>
      <w:r w:rsidRPr="00412F42">
        <w:rPr>
          <w:rFonts w:ascii="Verdana" w:hAnsi="Verdana"/>
          <w:b/>
          <w:bCs/>
          <w:sz w:val="16"/>
          <w:szCs w:val="16"/>
        </w:rPr>
        <w:t>Výpis konstrukcí, výměra a plnění požadavku konstrukcí vyplívající z PENB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811"/>
        <w:gridCol w:w="1810"/>
        <w:gridCol w:w="1810"/>
        <w:gridCol w:w="1810"/>
      </w:tblGrid>
      <w:tr w:rsidR="00FF45A5" w:rsidRPr="00FF45A5" w14:paraId="377213A7" w14:textId="77777777" w:rsidTr="001D70D2">
        <w:trPr>
          <w:trHeight w:val="52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4E3CDDF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Konstrukce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101D5475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Výměra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503DD7A8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Požadavek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6F8728FC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Dosažená hodnota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2F3C4D66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Plnění požadavku</w:t>
            </w:r>
          </w:p>
        </w:tc>
      </w:tr>
      <w:tr w:rsidR="00FF45A5" w:rsidRPr="00FF45A5" w14:paraId="63B0409E" w14:textId="77777777" w:rsidTr="00FF45A5">
        <w:trPr>
          <w:trHeight w:val="525"/>
        </w:trPr>
        <w:tc>
          <w:tcPr>
            <w:tcW w:w="1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2E68C017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Označení k-</w:t>
            </w:r>
            <w:proofErr w:type="spellStart"/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ce</w:t>
            </w:r>
            <w:proofErr w:type="spellEnd"/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 xml:space="preserve"> v PENB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039E04B5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[m2]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602738C4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[W/m2K]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5BB9AD10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[W/m2K]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7D31344C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Times New Roman" w:hAnsi="Verdana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ANO/NE</w:t>
            </w:r>
          </w:p>
        </w:tc>
      </w:tr>
      <w:tr w:rsidR="00FF45A5" w:rsidRPr="00FF45A5" w14:paraId="58A9E00A" w14:textId="77777777" w:rsidTr="001D70D2">
        <w:trPr>
          <w:trHeight w:val="31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BD4B9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SO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0CA98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1906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D1793D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24EC08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0,247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7FC4B2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4C901C4D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4D7B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SCH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D57462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648,2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DE9DB4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0,24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54F4E1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0,148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C434A8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6B36212B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A9355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LUX1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130A27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60,84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79780D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FF4432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E7F1DA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3BCEBA53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35AD2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LUX2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DFE8DB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2,3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F4E6BD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449795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780E6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3D6C040B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EE1B1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OK1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B4E71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304,26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133CF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17C6F9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E390B1D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5A5D7CFD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3EFC9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OK2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72F167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202,57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A3A7CC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6943D4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5C0CA3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348C0626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0E374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OK3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72C86A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90,86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7F33DE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F5AFAE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0616C7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08E63B99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4BA9E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OK4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082D51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2,29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BF6840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0F2157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B7EC206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52BF85FA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900C7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OK5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EF7B81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32,54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61D9F5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F35A87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E4D4AB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415885CC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3AA34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DB1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255354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63,5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FA671A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522304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1630BC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34314218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1B35B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DO1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1A9881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2,25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595CC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4A6A23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D67AC8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4459355D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15ADF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DO2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C81A24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3,02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9FBDF5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47229D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07CD3C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  <w:tr w:rsidR="00FF45A5" w:rsidRPr="00FF45A5" w14:paraId="313E1FF1" w14:textId="77777777" w:rsidTr="001D70D2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0FDF6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DO3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FBA3A6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6,34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C21CFA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DE7E76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BA62DF6" w14:textId="77777777" w:rsidR="00FF45A5" w:rsidRPr="00FF45A5" w:rsidRDefault="00FF45A5" w:rsidP="00FF45A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F45A5">
              <w:rPr>
                <w:rFonts w:ascii="Verdana" w:eastAsia="MS Mincho" w:hAnsi="Verdana" w:cs="Calibri"/>
                <w:color w:val="000000"/>
                <w:kern w:val="0"/>
                <w:sz w:val="18"/>
                <w:szCs w:val="18"/>
                <w14:ligatures w14:val="none"/>
              </w:rPr>
              <w:t>ANO</w:t>
            </w:r>
          </w:p>
        </w:tc>
      </w:tr>
    </w:tbl>
    <w:p w14:paraId="67D72465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439C291B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Poznámka: So – stěna vnější, SCH – střešní plášť, Lux – okenní výplň, Ok – okenní výplň, </w:t>
      </w:r>
      <w:proofErr w:type="spellStart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db</w:t>
      </w:r>
      <w:proofErr w:type="spellEnd"/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 – dveře balkonové, do – dveře</w:t>
      </w:r>
    </w:p>
    <w:p w14:paraId="58E1D8A8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6B419BCA" w14:textId="77777777" w:rsidR="00FF45A5" w:rsidRPr="00FF45A5" w:rsidRDefault="00FF45A5" w:rsidP="00FF45A5">
      <w:pPr>
        <w:spacing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kern w:val="0"/>
          <w:sz w:val="20"/>
          <w:szCs w:val="20"/>
          <w14:ligatures w14:val="none"/>
        </w:rPr>
        <w:t>U výměry zateplovaných ploch se vždy jedná pouze o plochy na systémové hranici obálky budovy. Nejedná se o skutečnou zateplovanou výměru. Plochy mimo systémovou hranici obálky budovy nejsou zahrnuty jako jsou například zateplování sokl, ploch atik nad úrovní stropu posledního NP nebo zateplování nevytápěných prostor.</w:t>
      </w:r>
    </w:p>
    <w:p w14:paraId="4F0290C3" w14:textId="77777777" w:rsidR="00FF45A5" w:rsidRPr="00FF45A5" w:rsidRDefault="00FF45A5" w:rsidP="00FF45A5">
      <w:pPr>
        <w:spacing w:after="0" w:line="240" w:lineRule="auto"/>
        <w:jc w:val="both"/>
        <w:rPr>
          <w:rFonts w:ascii="Verdana" w:eastAsia="MS Mincho" w:hAnsi="Verdana" w:cs="Times New Roman"/>
          <w:kern w:val="0"/>
          <w:sz w:val="20"/>
          <w:szCs w:val="20"/>
          <w14:ligatures w14:val="none"/>
        </w:rPr>
      </w:pPr>
    </w:p>
    <w:p w14:paraId="307876C3" w14:textId="77777777" w:rsidR="00FF45A5" w:rsidRPr="00FF45A5" w:rsidRDefault="00FF45A5" w:rsidP="00FF45A5">
      <w:pPr>
        <w:spacing w:after="0" w:line="240" w:lineRule="auto"/>
        <w:jc w:val="both"/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  <w:t>Nejedná se o skutečně zateplovanou výměru ale o výměru vycházející z </w:t>
      </w:r>
      <w:proofErr w:type="gramStart"/>
      <w:r w:rsidRPr="00FF45A5"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  <w:t>PENB</w:t>
      </w:r>
      <w:proofErr w:type="gramEnd"/>
      <w:r w:rsidRPr="00FF45A5">
        <w:rPr>
          <w:rFonts w:ascii="Verdana" w:eastAsia="MS Mincho" w:hAnsi="Verdana" w:cs="Times New Roman"/>
          <w:b/>
          <w:bCs/>
          <w:kern w:val="0"/>
          <w:sz w:val="20"/>
          <w:szCs w:val="20"/>
          <w14:ligatures w14:val="none"/>
        </w:rPr>
        <w:t xml:space="preserve"> a tudíž systémové hranice obálky budovy. </w:t>
      </w:r>
    </w:p>
    <w:p w14:paraId="1870DC3A" w14:textId="77777777" w:rsidR="00FF45A5" w:rsidRPr="00FF45A5" w:rsidRDefault="00FF45A5" w:rsidP="007B04C4">
      <w:pPr>
        <w:pStyle w:val="Nadpis2"/>
        <w:rPr>
          <w:rFonts w:eastAsia="MS Mincho" w:cs="Arial"/>
          <w:bCs/>
          <w:i/>
          <w:kern w:val="0"/>
          <w:szCs w:val="20"/>
          <w:lang w:eastAsia="cs-CZ"/>
          <w14:ligatures w14:val="none"/>
        </w:rPr>
      </w:pPr>
      <w:bookmarkStart w:id="14" w:name="_Toc159239321"/>
      <w:r w:rsidRPr="00FF45A5">
        <w:t>Instalace FVE</w:t>
      </w:r>
      <w:bookmarkEnd w:id="14"/>
    </w:p>
    <w:p w14:paraId="46ED0F57" w14:textId="77777777" w:rsidR="00FF45A5" w:rsidRPr="00FF45A5" w:rsidRDefault="00FF45A5" w:rsidP="00FF45A5">
      <w:pPr>
        <w:spacing w:after="0" w:line="240" w:lineRule="auto"/>
        <w:jc w:val="both"/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  <w:t xml:space="preserve">Každoroční plnění závazku bude doloženo v roční průběžné zprávě spolu s vyhodnocením dosažených úspor. V případě realizace obnovitelných zdrojů tepla nebo elektřiny bude zajištěno měření vyrobené energie z OZE. </w:t>
      </w:r>
    </w:p>
    <w:p w14:paraId="0F7257A6" w14:textId="77777777" w:rsidR="00FF45A5" w:rsidRPr="00FF45A5" w:rsidRDefault="00FF45A5" w:rsidP="00FF45A5">
      <w:pPr>
        <w:spacing w:after="0" w:line="240" w:lineRule="auto"/>
        <w:jc w:val="both"/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</w:pPr>
    </w:p>
    <w:p w14:paraId="7DE134A1" w14:textId="77777777" w:rsidR="00FF45A5" w:rsidRPr="00FF45A5" w:rsidRDefault="00FF45A5" w:rsidP="00FF45A5">
      <w:pPr>
        <w:spacing w:after="0" w:line="240" w:lineRule="auto"/>
        <w:jc w:val="both"/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  <w:t xml:space="preserve">Výkon: </w:t>
      </w:r>
      <w:r w:rsidRPr="00FF45A5"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  <w:tab/>
      </w:r>
      <w:r w:rsidRPr="00FF45A5"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  <w:tab/>
      </w:r>
      <w:r w:rsidRPr="00FF45A5"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  <w:tab/>
      </w:r>
      <w:r w:rsidRPr="00FF45A5"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  <w:tab/>
      </w:r>
      <w:r w:rsidRPr="00FF45A5">
        <w:rPr>
          <w:rFonts w:ascii="Verdana" w:eastAsia="MS Mincho" w:hAnsi="Verdana" w:cs="Times New Roman"/>
          <w:noProof/>
          <w:kern w:val="0"/>
          <w:sz w:val="20"/>
          <w:szCs w:val="20"/>
          <w14:ligatures w14:val="none"/>
        </w:rPr>
        <w:tab/>
        <w:t>49,95 kWp</w:t>
      </w:r>
    </w:p>
    <w:p w14:paraId="43ACFF12" w14:textId="77777777" w:rsidR="00FF45A5" w:rsidRPr="00FF45A5" w:rsidRDefault="00FF45A5" w:rsidP="00FF45A5">
      <w:pPr>
        <w:spacing w:after="0" w:line="240" w:lineRule="auto"/>
        <w:jc w:val="both"/>
        <w:rPr>
          <w:rFonts w:ascii="Verdana" w:eastAsia="MS Mincho" w:hAnsi="Verdana" w:cs="Times New Roman"/>
          <w:b/>
          <w:bCs/>
          <w:noProof/>
          <w:kern w:val="0"/>
          <w:sz w:val="20"/>
          <w:szCs w:val="20"/>
          <w14:ligatures w14:val="none"/>
        </w:rPr>
      </w:pPr>
      <w:r w:rsidRPr="00FF45A5">
        <w:rPr>
          <w:rFonts w:ascii="Verdana" w:eastAsia="MS Mincho" w:hAnsi="Verdana" w:cs="Times New Roman"/>
          <w:b/>
          <w:bCs/>
          <w:noProof/>
          <w:kern w:val="0"/>
          <w:sz w:val="20"/>
          <w:szCs w:val="20"/>
          <w14:ligatures w14:val="none"/>
        </w:rPr>
        <w:t>Technické parametry FVE systému:</w:t>
      </w:r>
      <w:r w:rsidRPr="00FF45A5">
        <w:rPr>
          <w:rFonts w:ascii="Verdana" w:eastAsia="MS Mincho" w:hAnsi="Verdana" w:cs="Times New Roman"/>
          <w:b/>
          <w:bCs/>
          <w:noProof/>
          <w:kern w:val="0"/>
          <w:sz w:val="20"/>
          <w:szCs w:val="20"/>
          <w14:ligatures w14:val="none"/>
        </w:rPr>
        <w:tab/>
        <w:t xml:space="preserve">Viz okrajové podmínky </w:t>
      </w:r>
    </w:p>
    <w:p w14:paraId="5EC235AC" w14:textId="200F2E0B" w:rsidR="00FF45A5" w:rsidRPr="00FF45A5" w:rsidRDefault="00FF45A5" w:rsidP="007B04C4">
      <w:pPr>
        <w:pStyle w:val="Nadpis2"/>
      </w:pPr>
      <w:bookmarkStart w:id="15" w:name="_Toc159239322"/>
      <w:r w:rsidRPr="00FF45A5">
        <w:t>Modernizace vnitřního osvětlení</w:t>
      </w:r>
      <w:bookmarkEnd w:id="15"/>
      <w:r w:rsidRPr="007B04C4">
        <w:t xml:space="preserve"> </w:t>
      </w:r>
    </w:p>
    <w:p w14:paraId="5B91E30C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06C01BDA" w14:textId="7A1D9A69" w:rsid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  <w:r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 Toto opatření bude realizováno v celém objektu viz legenda místností – celkem 4 364 m2 osvětlované plochy. </w:t>
      </w:r>
    </w:p>
    <w:p w14:paraId="4EA75ACA" w14:textId="77777777" w:rsidR="00A15CC7" w:rsidRDefault="00A15CC7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57F1A0B2" w14:textId="05AEDBAA" w:rsidR="00A15CC7" w:rsidRPr="00FF45A5" w:rsidRDefault="00A15CC7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>
        <w:lastRenderedPageBreak/>
        <w:t xml:space="preserve">V rámci podpory modernizace vnitřního osvětlení musí být po realizaci projektu splněny požadavky ČSN EN 12464-1 na udržovanou osvětlenost </w:t>
      </w:r>
      <w:proofErr w:type="spellStart"/>
      <w:r>
        <w:t>Ēm</w:t>
      </w:r>
      <w:proofErr w:type="spellEnd"/>
      <w:r>
        <w:t xml:space="preserve">, maximální mezní hodnotu indexu oslnění podle UGR, minimální rovnoměrnost osvětlení U0 a minimální indexy podání barev </w:t>
      </w:r>
      <w:proofErr w:type="spellStart"/>
      <w:r>
        <w:t>Ra</w:t>
      </w:r>
      <w:proofErr w:type="spellEnd"/>
      <w:r>
        <w:t>.</w:t>
      </w:r>
    </w:p>
    <w:p w14:paraId="12F94188" w14:textId="77777777" w:rsidR="00FF45A5" w:rsidRPr="00FF45A5" w:rsidRDefault="00FF45A5" w:rsidP="00FF45A5">
      <w:pPr>
        <w:spacing w:before="120" w:after="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7F53AEE2" w14:textId="77777777" w:rsidR="00FF45A5" w:rsidRPr="00FF45A5" w:rsidRDefault="00FF45A5" w:rsidP="00FF45A5">
      <w:pPr>
        <w:keepNext/>
        <w:spacing w:after="0" w:line="240" w:lineRule="auto"/>
        <w:rPr>
          <w:rFonts w:ascii="Verdana" w:eastAsia="MS Mincho" w:hAnsi="Verdana" w:cs="Times New Roman"/>
          <w:i/>
          <w:iCs/>
          <w:color w:val="44546A"/>
          <w:kern w:val="0"/>
          <w:sz w:val="18"/>
          <w:szCs w:val="18"/>
          <w14:ligatures w14:val="none"/>
        </w:rPr>
      </w:pPr>
    </w:p>
    <w:p w14:paraId="486901F2" w14:textId="77777777" w:rsidR="00FF45A5" w:rsidRPr="00FF45A5" w:rsidRDefault="00FF45A5" w:rsidP="00FF45A5">
      <w:pPr>
        <w:keepNext/>
        <w:spacing w:after="0" w:line="240" w:lineRule="auto"/>
        <w:rPr>
          <w:rFonts w:ascii="Verdana" w:eastAsia="MS Mincho" w:hAnsi="Verdana" w:cs="Times New Roman"/>
          <w:b/>
          <w:bCs/>
          <w:i/>
          <w:iCs/>
          <w:kern w:val="0"/>
          <w:sz w:val="18"/>
          <w:szCs w:val="18"/>
          <w14:ligatures w14:val="none"/>
        </w:rPr>
      </w:pPr>
      <w:r w:rsidRPr="00FF45A5">
        <w:rPr>
          <w:rFonts w:ascii="Verdana" w:eastAsia="MS Mincho" w:hAnsi="Verdana" w:cs="Times New Roman"/>
          <w:b/>
          <w:bCs/>
          <w:i/>
          <w:iCs/>
          <w:kern w:val="0"/>
          <w:sz w:val="18"/>
          <w:szCs w:val="18"/>
          <w14:ligatures w14:val="none"/>
        </w:rPr>
        <w:t>Celkový počet svítidel k modernizaci: 651 ks</w:t>
      </w:r>
    </w:p>
    <w:p w14:paraId="7F7C85D7" w14:textId="77777777" w:rsidR="00FF45A5" w:rsidRPr="00FF45A5" w:rsidRDefault="00FF45A5" w:rsidP="007B04C4">
      <w:pPr>
        <w:pStyle w:val="Nadpis2"/>
      </w:pPr>
      <w:bookmarkStart w:id="16" w:name="_Toc159239323"/>
      <w:r w:rsidRPr="00FF45A5">
        <w:t>Instalace systému IRC a hydraulické vyvážení otopné soustavy</w:t>
      </w:r>
      <w:bookmarkEnd w:id="16"/>
    </w:p>
    <w:p w14:paraId="67277CA5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70E5A360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V rámci tohoto opatření budou provedeno následující: </w:t>
      </w:r>
    </w:p>
    <w:p w14:paraId="34B9871F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4C8183CE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Všechny ventily, které jsou již nevyhovující, budou na otopných tělesech demontovány a na jejich místo budou nainstalovány nové termostatické ventily s možností přednastavení v celkovém předpokládaném rozsahu </w:t>
      </w:r>
      <w:r w:rsidRPr="00FF45A5">
        <w:rPr>
          <w:rFonts w:ascii="Verdana" w:eastAsia="Calibri" w:hAnsi="Verdana" w:cs="Arial"/>
          <w:b/>
          <w:bCs/>
          <w:kern w:val="0"/>
          <w:sz w:val="20"/>
          <w:szCs w:val="20"/>
          <w:lang w:eastAsia="ar-SA"/>
          <w14:ligatures w14:val="none"/>
        </w:rPr>
        <w:t>186 ks.</w:t>
      </w: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 </w:t>
      </w:r>
    </w:p>
    <w:p w14:paraId="1FAA63FC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66CA6E78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Na nově nainstalované termostatické ventily budou osazeny počítačem řízené hlavice systému IRC v celkovém rozsahu </w:t>
      </w:r>
      <w:r w:rsidRPr="00FF45A5">
        <w:rPr>
          <w:rFonts w:ascii="Verdana" w:eastAsia="Calibri" w:hAnsi="Verdana" w:cs="Arial"/>
          <w:b/>
          <w:bCs/>
          <w:kern w:val="0"/>
          <w:sz w:val="20"/>
          <w:szCs w:val="20"/>
          <w:lang w:eastAsia="ar-SA"/>
          <w14:ligatures w14:val="none"/>
        </w:rPr>
        <w:t>186 ks.</w:t>
      </w: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 </w:t>
      </w:r>
    </w:p>
    <w:p w14:paraId="7EFCED12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481FD8EE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Všechny termoelektrické hlavice systému IRC budou napojeny přes zónové jednotky a transakční jednotky do řídícího dispečinku.</w:t>
      </w:r>
    </w:p>
    <w:p w14:paraId="08D1F303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796477AD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Každá místnost, která bude napojena na systém IRC, bude mít v prostoru nainstalován snímač referenční teploty, který tak bude sledovat vývoj teplot v prostoru a bude posílat tyto informace na ŘS. </w:t>
      </w:r>
    </w:p>
    <w:p w14:paraId="1E5033E4" w14:textId="77777777" w:rsidR="00FF45A5" w:rsidRP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</w:p>
    <w:p w14:paraId="05E3780A" w14:textId="77777777" w:rsidR="00FF45A5" w:rsidRDefault="00FF45A5" w:rsidP="00FF45A5">
      <w:pPr>
        <w:spacing w:before="120" w:after="120" w:line="240" w:lineRule="auto"/>
        <w:contextualSpacing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FF45A5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Součástí opatření bude hydraulické vyvážení OS. </w:t>
      </w:r>
    </w:p>
    <w:p w14:paraId="4E1174A2" w14:textId="77777777" w:rsidR="00802ECF" w:rsidRPr="00ED526A" w:rsidRDefault="00802ECF" w:rsidP="002B578D">
      <w:pPr>
        <w:pStyle w:val="Nadpis1"/>
        <w:numPr>
          <w:ilvl w:val="0"/>
          <w:numId w:val="4"/>
        </w:numPr>
      </w:pPr>
      <w:bookmarkStart w:id="17" w:name="_Toc122530546"/>
      <w:bookmarkStart w:id="18" w:name="_Toc150266048"/>
      <w:bookmarkStart w:id="19" w:name="_Toc159239324"/>
      <w:r w:rsidRPr="00ED526A">
        <w:t>Úsporná opatření navržená účastníkem</w:t>
      </w:r>
      <w:bookmarkEnd w:id="17"/>
      <w:bookmarkEnd w:id="18"/>
      <w:bookmarkEnd w:id="19"/>
    </w:p>
    <w:p w14:paraId="0EB45002" w14:textId="77777777" w:rsidR="00802ECF" w:rsidRPr="008C059C" w:rsidRDefault="00802ECF" w:rsidP="00802ECF">
      <w:pPr>
        <w:tabs>
          <w:tab w:val="center" w:pos="4536"/>
        </w:tabs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Energeticky úsporná opatření navržená účastníkem bude možné považovat za odpovídající zadávacím podmínkám pouze tehdy, když budou v souladu s cílem dosáhnout zaručených úspor, přičemž musí být dodrženy níže uvedené požadavky na energeticky úsporná opatření:</w:t>
      </w:r>
    </w:p>
    <w:p w14:paraId="366E1872" w14:textId="77777777" w:rsidR="00802ECF" w:rsidRPr="008C059C" w:rsidRDefault="00802ECF" w:rsidP="00802ECF">
      <w:pPr>
        <w:numPr>
          <w:ilvl w:val="0"/>
          <w:numId w:val="1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vyhovovat příslušným technickým normám a předpisům platným v době realizace prací, tyto jsou zadavatelem považovány za minimální technický standard</w:t>
      </w:r>
    </w:p>
    <w:p w14:paraId="38AC9E56" w14:textId="77777777" w:rsidR="00802ECF" w:rsidRPr="008C059C" w:rsidRDefault="00802ECF" w:rsidP="00802ECF">
      <w:pPr>
        <w:numPr>
          <w:ilvl w:val="0"/>
          <w:numId w:val="1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být vhodně navržena tak, aby zohledňovala skutečný stav řešených objektů a aktuální podmínky jejich využití a nevedla k potřebě vynaložit nepřiměřené náklady na údržbu a opravy ze strany zadavatele po dobu 5 let po ukončení účinnosti smlouvy,</w:t>
      </w:r>
    </w:p>
    <w:p w14:paraId="514329AD" w14:textId="77777777" w:rsidR="00802ECF" w:rsidRPr="008C059C" w:rsidRDefault="00802ECF" w:rsidP="00802ECF">
      <w:pPr>
        <w:numPr>
          <w:ilvl w:val="0"/>
          <w:numId w:val="1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být kompatibilní se stávajícími stavebními i technologickými instalacemi a prvky (včetně stávajících řídících a regulačních systémů),</w:t>
      </w:r>
    </w:p>
    <w:p w14:paraId="18A2A2EC" w14:textId="77777777" w:rsidR="00802ECF" w:rsidRPr="008C059C" w:rsidRDefault="00802ECF" w:rsidP="00802ECF">
      <w:pPr>
        <w:numPr>
          <w:ilvl w:val="0"/>
          <w:numId w:val="1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mít smluvně stanovenou strukturu a plnit záruku dostupnosti, pokud jde o získání náhradních dílů po ukončení účinnosti této smlouvy,</w:t>
      </w:r>
    </w:p>
    <w:p w14:paraId="3250FFBE" w14:textId="77777777" w:rsidR="00802ECF" w:rsidRPr="008C059C" w:rsidRDefault="00802ECF" w:rsidP="00802ECF">
      <w:pPr>
        <w:numPr>
          <w:ilvl w:val="0"/>
          <w:numId w:val="1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nesmí vést ke snížené nebo nedostatečné úrovni standardů pohodlí vnitřního prostředí, která vyplývá z hygienických norem a předpisů,</w:t>
      </w:r>
    </w:p>
    <w:p w14:paraId="686FE4DA" w14:textId="77777777" w:rsidR="00802ECF" w:rsidRPr="008C059C" w:rsidRDefault="00802ECF" w:rsidP="00802ECF">
      <w:pPr>
        <w:numPr>
          <w:ilvl w:val="0"/>
          <w:numId w:val="1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nesmí mít žádné hmotné nedostatky a vady a musí být prováděna takovým způsobem, aby uživatelé budov nebyli ve svých možnostech užívat budovy omezeni více, než je nezbytně nutné,</w:t>
      </w:r>
    </w:p>
    <w:p w14:paraId="27AB6E51" w14:textId="77777777" w:rsidR="00802ECF" w:rsidRDefault="00802ECF" w:rsidP="00802ECF">
      <w:pPr>
        <w:numPr>
          <w:ilvl w:val="0"/>
          <w:numId w:val="1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dodržovat platné normy pro vytápění, přípravu teplé vody a větrání objektů.</w:t>
      </w:r>
    </w:p>
    <w:p w14:paraId="76B3DB36" w14:textId="77777777" w:rsidR="00802ECF" w:rsidRPr="00801D3E" w:rsidRDefault="00802ECF" w:rsidP="00802ECF">
      <w:pPr>
        <w:numPr>
          <w:ilvl w:val="0"/>
          <w:numId w:val="1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01D3E">
        <w:rPr>
          <w:rFonts w:ascii="Verdana" w:eastAsia="Times New Roman" w:hAnsi="Verdana" w:cs="Arial"/>
          <w:sz w:val="20"/>
          <w:szCs w:val="20"/>
          <w:lang w:eastAsia="cs-CZ"/>
        </w:rPr>
        <w:lastRenderedPageBreak/>
        <w:t>služby energetického managementu (služby zahrnující mj. trvalé sledování a vyhodnocování dosahovaných úspor energie v souladu s požadavky IPMVP – Mezinárodního protokolu k měření a verifikaci úspor) po dobu trvání období garance (10</w:t>
      </w:r>
      <w:r>
        <w:rPr>
          <w:rFonts w:ascii="Verdana" w:eastAsia="Times New Roman" w:hAnsi="Verdana" w:cs="Arial"/>
          <w:sz w:val="20"/>
          <w:szCs w:val="20"/>
          <w:lang w:eastAsia="cs-CZ"/>
        </w:rPr>
        <w:t>-12</w:t>
      </w:r>
      <w:r w:rsidRPr="00801D3E">
        <w:rPr>
          <w:rFonts w:ascii="Verdana" w:eastAsia="Times New Roman" w:hAnsi="Verdana" w:cs="Arial"/>
          <w:sz w:val="20"/>
          <w:szCs w:val="20"/>
          <w:lang w:eastAsia="cs-CZ"/>
        </w:rPr>
        <w:t xml:space="preserve"> let) včetně kontroly instalovaného zařízení.</w:t>
      </w:r>
    </w:p>
    <w:p w14:paraId="6CED92E3" w14:textId="77777777" w:rsidR="00802ECF" w:rsidRPr="00801D3E" w:rsidRDefault="00802ECF" w:rsidP="00802ECF">
      <w:pPr>
        <w:numPr>
          <w:ilvl w:val="0"/>
          <w:numId w:val="1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>
        <w:rPr>
          <w:rFonts w:ascii="Verdana" w:eastAsia="Times New Roman" w:hAnsi="Verdana" w:cs="Arial"/>
          <w:sz w:val="20"/>
          <w:szCs w:val="20"/>
          <w:lang w:eastAsia="cs-CZ"/>
        </w:rPr>
        <w:t>v</w:t>
      </w:r>
      <w:r>
        <w:t xml:space="preserve">eškerá data a informace z měřidel a čidel nainstalovaných dodavatelem musí být otevřená a </w:t>
      </w:r>
      <w:proofErr w:type="gramStart"/>
      <w:r>
        <w:t>on line</w:t>
      </w:r>
      <w:proofErr w:type="gramEnd"/>
      <w:r>
        <w:t xml:space="preserve"> přístupna zadavateli pro případné další využití v informačních a manažerských systémech</w:t>
      </w:r>
    </w:p>
    <w:p w14:paraId="24084C63" w14:textId="66D8F2FA" w:rsidR="005A0E4B" w:rsidRDefault="004B30AC" w:rsidP="007B04C4">
      <w:pPr>
        <w:pStyle w:val="Nadpis1"/>
        <w:numPr>
          <w:ilvl w:val="0"/>
          <w:numId w:val="4"/>
        </w:numPr>
      </w:pPr>
      <w:bookmarkStart w:id="20" w:name="_Toc159239325"/>
      <w:r>
        <w:t xml:space="preserve">Výchozí </w:t>
      </w:r>
      <w:bookmarkEnd w:id="20"/>
      <w:r w:rsidR="00C45C64">
        <w:t>DOKUMENTY:</w:t>
      </w:r>
      <w:r w:rsidR="005A0E4B" w:rsidRPr="007B04C4">
        <w:t xml:space="preserve"> </w:t>
      </w:r>
    </w:p>
    <w:p w14:paraId="77814F2F" w14:textId="77777777" w:rsidR="004876E8" w:rsidRPr="004876E8" w:rsidRDefault="004876E8" w:rsidP="004876E8"/>
    <w:p w14:paraId="1B9730E0" w14:textId="4B46A395" w:rsidR="00701BF6" w:rsidRPr="00D76386" w:rsidRDefault="00701BF6" w:rsidP="00386642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D76386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Studie stavebně technologického řešení</w:t>
      </w:r>
    </w:p>
    <w:p w14:paraId="0B522857" w14:textId="24974A19" w:rsidR="00701BF6" w:rsidRPr="00D76386" w:rsidRDefault="00701BF6" w:rsidP="00386642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D76386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Výkresová část </w:t>
      </w:r>
      <w:r w:rsidR="00FB047B" w:rsidRPr="00D76386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FVE </w:t>
      </w:r>
    </w:p>
    <w:p w14:paraId="03AC410A" w14:textId="44CC9286" w:rsidR="00FB047B" w:rsidRPr="00D76386" w:rsidRDefault="00FB047B" w:rsidP="00386642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D76386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PENB</w:t>
      </w:r>
    </w:p>
    <w:p w14:paraId="5363BD08" w14:textId="18F33F23" w:rsidR="00FB047B" w:rsidRPr="00D76386" w:rsidRDefault="00386642" w:rsidP="00386642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D76386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Příloha PENB</w:t>
      </w:r>
    </w:p>
    <w:p w14:paraId="48BC172A" w14:textId="4061D83A" w:rsidR="00FB047B" w:rsidRDefault="00EB4270" w:rsidP="00386642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D76386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Stanovisko Nemocnice Břeclav Ubytovna </w:t>
      </w:r>
      <w:proofErr w:type="spellStart"/>
      <w:r w:rsidRPr="00D76386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final</w:t>
      </w:r>
      <w:proofErr w:type="spellEnd"/>
    </w:p>
    <w:p w14:paraId="6BD94FC0" w14:textId="1DEE6594" w:rsidR="00C401D0" w:rsidRDefault="00C401D0" w:rsidP="00386642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Okrajové podmínky 38. výzvy OPŽP</w:t>
      </w:r>
    </w:p>
    <w:p w14:paraId="048F1087" w14:textId="6F23A5F6" w:rsidR="00C401D0" w:rsidRDefault="007F0AC9" w:rsidP="00386642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Faktury </w:t>
      </w:r>
      <w:r w:rsidR="00AF5920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spotřeb energie a vody </w:t>
      </w:r>
    </w:p>
    <w:p w14:paraId="114BCF41" w14:textId="333D4708" w:rsidR="00AF5920" w:rsidRDefault="00465177" w:rsidP="00386642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Pasport </w:t>
      </w:r>
    </w:p>
    <w:p w14:paraId="021C7065" w14:textId="075F65FB" w:rsidR="00CC48F4" w:rsidRDefault="00CC48F4" w:rsidP="00327E1F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</w:pPr>
      <w:r w:rsidRPr="00664110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Spotřeby v</w:t>
      </w:r>
      <w:r w:rsidR="00C729EF" w:rsidRPr="00664110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 </w:t>
      </w:r>
      <w:r w:rsidRPr="00664110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>tabulkách</w:t>
      </w:r>
      <w:r w:rsidR="00C729EF" w:rsidRPr="00664110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 včetně referenčních spotřeb a cen</w:t>
      </w:r>
      <w:r w:rsidRPr="00664110">
        <w:rPr>
          <w:rFonts w:ascii="Verdana" w:eastAsia="Calibri" w:hAnsi="Verdana" w:cs="Arial"/>
          <w:kern w:val="0"/>
          <w:sz w:val="20"/>
          <w:szCs w:val="20"/>
          <w:lang w:eastAsia="ar-SA"/>
          <w14:ligatures w14:val="none"/>
        </w:rPr>
        <w:t xml:space="preserve"> </w:t>
      </w:r>
    </w:p>
    <w:sectPr w:rsidR="00CC4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2465B7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4A55C6B"/>
    <w:multiLevelType w:val="hybridMultilevel"/>
    <w:tmpl w:val="27C2C54A"/>
    <w:lvl w:ilvl="0" w:tplc="FB1E6424">
      <w:start w:val="1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E7567"/>
    <w:multiLevelType w:val="hybridMultilevel"/>
    <w:tmpl w:val="87B842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741A9"/>
    <w:multiLevelType w:val="hybridMultilevel"/>
    <w:tmpl w:val="20DCE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C6F9C"/>
    <w:multiLevelType w:val="hybridMultilevel"/>
    <w:tmpl w:val="CB08A6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17EF6"/>
    <w:multiLevelType w:val="multilevel"/>
    <w:tmpl w:val="F218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7E6E16"/>
    <w:multiLevelType w:val="multilevel"/>
    <w:tmpl w:val="0DB2E9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"/>
        </w:tabs>
        <w:ind w:left="9" w:hanging="576"/>
      </w:pPr>
      <w:rPr>
        <w:rFonts w:cs="Times New Roman"/>
        <w:b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53"/>
        </w:tabs>
        <w:ind w:left="15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945"/>
        </w:tabs>
        <w:ind w:left="8945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41"/>
        </w:tabs>
        <w:ind w:left="44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85"/>
        </w:tabs>
        <w:ind w:left="58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29"/>
        </w:tabs>
        <w:ind w:left="72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73"/>
        </w:tabs>
        <w:ind w:left="87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17"/>
        </w:tabs>
        <w:ind w:left="1017" w:hanging="1584"/>
      </w:pPr>
      <w:rPr>
        <w:rFonts w:cs="Times New Roman"/>
      </w:rPr>
    </w:lvl>
  </w:abstractNum>
  <w:abstractNum w:abstractNumId="8" w15:restartNumberingAfterBreak="0">
    <w:nsid w:val="656810C0"/>
    <w:multiLevelType w:val="hybridMultilevel"/>
    <w:tmpl w:val="8CAAD5D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546006">
    <w:abstractNumId w:val="8"/>
  </w:num>
  <w:num w:numId="2" w16cid:durableId="62065249">
    <w:abstractNumId w:val="4"/>
  </w:num>
  <w:num w:numId="3" w16cid:durableId="219484884">
    <w:abstractNumId w:val="6"/>
  </w:num>
  <w:num w:numId="4" w16cid:durableId="1368531687">
    <w:abstractNumId w:val="3"/>
  </w:num>
  <w:num w:numId="5" w16cid:durableId="271741998">
    <w:abstractNumId w:val="7"/>
  </w:num>
  <w:num w:numId="6" w16cid:durableId="680396546">
    <w:abstractNumId w:val="7"/>
  </w:num>
  <w:num w:numId="7" w16cid:durableId="1193571712">
    <w:abstractNumId w:val="1"/>
  </w:num>
  <w:num w:numId="8" w16cid:durableId="1860044845">
    <w:abstractNumId w:val="1"/>
  </w:num>
  <w:num w:numId="9" w16cid:durableId="717511833">
    <w:abstractNumId w:val="1"/>
  </w:num>
  <w:num w:numId="10" w16cid:durableId="999237529">
    <w:abstractNumId w:val="1"/>
  </w:num>
  <w:num w:numId="11" w16cid:durableId="765348332">
    <w:abstractNumId w:val="1"/>
  </w:num>
  <w:num w:numId="12" w16cid:durableId="710232251">
    <w:abstractNumId w:val="1"/>
  </w:num>
  <w:num w:numId="13" w16cid:durableId="358091028">
    <w:abstractNumId w:val="5"/>
  </w:num>
  <w:num w:numId="14" w16cid:durableId="158081947">
    <w:abstractNumId w:val="0"/>
  </w:num>
  <w:num w:numId="15" w16cid:durableId="2052149743">
    <w:abstractNumId w:val="2"/>
  </w:num>
  <w:num w:numId="16" w16cid:durableId="840580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A5"/>
    <w:rsid w:val="00047762"/>
    <w:rsid w:val="000552FC"/>
    <w:rsid w:val="00064A15"/>
    <w:rsid w:val="000769C4"/>
    <w:rsid w:val="000E5D1A"/>
    <w:rsid w:val="001820CF"/>
    <w:rsid w:val="002261FC"/>
    <w:rsid w:val="00252FEB"/>
    <w:rsid w:val="002B578D"/>
    <w:rsid w:val="003335E4"/>
    <w:rsid w:val="0033453F"/>
    <w:rsid w:val="00386642"/>
    <w:rsid w:val="003E07F8"/>
    <w:rsid w:val="004116DE"/>
    <w:rsid w:val="00412F42"/>
    <w:rsid w:val="00465177"/>
    <w:rsid w:val="004876E8"/>
    <w:rsid w:val="004B30AC"/>
    <w:rsid w:val="005319A8"/>
    <w:rsid w:val="0057248F"/>
    <w:rsid w:val="005A0E4B"/>
    <w:rsid w:val="005D1DFF"/>
    <w:rsid w:val="005E3E89"/>
    <w:rsid w:val="00624574"/>
    <w:rsid w:val="00664110"/>
    <w:rsid w:val="006F6AA5"/>
    <w:rsid w:val="00701BF6"/>
    <w:rsid w:val="00722B78"/>
    <w:rsid w:val="0076421D"/>
    <w:rsid w:val="00764C2D"/>
    <w:rsid w:val="007B04C4"/>
    <w:rsid w:val="007E6228"/>
    <w:rsid w:val="007F0AC9"/>
    <w:rsid w:val="00802ECF"/>
    <w:rsid w:val="0086286B"/>
    <w:rsid w:val="00946F79"/>
    <w:rsid w:val="00A06F56"/>
    <w:rsid w:val="00A15CC7"/>
    <w:rsid w:val="00A42981"/>
    <w:rsid w:val="00A75DBD"/>
    <w:rsid w:val="00A9239A"/>
    <w:rsid w:val="00AF5920"/>
    <w:rsid w:val="00B25648"/>
    <w:rsid w:val="00B33C7A"/>
    <w:rsid w:val="00B453E1"/>
    <w:rsid w:val="00B60F21"/>
    <w:rsid w:val="00BA4850"/>
    <w:rsid w:val="00C241B1"/>
    <w:rsid w:val="00C3396F"/>
    <w:rsid w:val="00C401D0"/>
    <w:rsid w:val="00C45C64"/>
    <w:rsid w:val="00C729EF"/>
    <w:rsid w:val="00CC48F4"/>
    <w:rsid w:val="00D76386"/>
    <w:rsid w:val="00DC4FEA"/>
    <w:rsid w:val="00E34F44"/>
    <w:rsid w:val="00EB4270"/>
    <w:rsid w:val="00F143F9"/>
    <w:rsid w:val="00F24CEC"/>
    <w:rsid w:val="00F51121"/>
    <w:rsid w:val="00F55B2C"/>
    <w:rsid w:val="00F626BF"/>
    <w:rsid w:val="00FA33D7"/>
    <w:rsid w:val="00FB047B"/>
    <w:rsid w:val="00FD01F9"/>
    <w:rsid w:val="00FF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6130"/>
  <w15:chartTrackingRefBased/>
  <w15:docId w15:val="{1236A220-3850-44DF-846E-A9E71828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43F9"/>
    <w:pPr>
      <w:keepNext/>
      <w:keepLines/>
      <w:numPr>
        <w:numId w:val="7"/>
      </w:numPr>
      <w:spacing w:before="360" w:after="80"/>
      <w:outlineLvl w:val="0"/>
    </w:pPr>
    <w:rPr>
      <w:rFonts w:ascii="Verdana" w:eastAsiaTheme="majorEastAsia" w:hAnsi="Verdana" w:cstheme="majorBidi"/>
      <w:b/>
      <w:caps/>
      <w:sz w:val="24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3C7A"/>
    <w:pPr>
      <w:keepNext/>
      <w:keepLines/>
      <w:numPr>
        <w:ilvl w:val="1"/>
        <w:numId w:val="7"/>
      </w:numPr>
      <w:spacing w:before="160" w:after="80"/>
      <w:outlineLvl w:val="1"/>
    </w:pPr>
    <w:rPr>
      <w:rFonts w:ascii="Verdana" w:eastAsiaTheme="majorEastAsia" w:hAnsi="Verdana" w:cstheme="majorBidi"/>
      <w:b/>
      <w:sz w:val="20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F45A5"/>
    <w:pPr>
      <w:keepNext/>
      <w:keepLines/>
      <w:numPr>
        <w:ilvl w:val="2"/>
        <w:numId w:val="7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F45A5"/>
    <w:pPr>
      <w:keepNext/>
      <w:keepLines/>
      <w:numPr>
        <w:ilvl w:val="3"/>
        <w:numId w:val="7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F45A5"/>
    <w:pPr>
      <w:keepNext/>
      <w:keepLines/>
      <w:numPr>
        <w:ilvl w:val="4"/>
        <w:numId w:val="7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F45A5"/>
    <w:pPr>
      <w:keepNext/>
      <w:keepLines/>
      <w:numPr>
        <w:ilvl w:val="5"/>
        <w:numId w:val="7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F45A5"/>
    <w:pPr>
      <w:keepNext/>
      <w:keepLines/>
      <w:numPr>
        <w:ilvl w:val="6"/>
        <w:numId w:val="7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F45A5"/>
    <w:pPr>
      <w:keepNext/>
      <w:keepLines/>
      <w:numPr>
        <w:ilvl w:val="7"/>
        <w:numId w:val="7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F45A5"/>
    <w:pPr>
      <w:keepNext/>
      <w:keepLines/>
      <w:numPr>
        <w:ilvl w:val="8"/>
        <w:numId w:val="7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43F9"/>
    <w:rPr>
      <w:rFonts w:ascii="Verdana" w:eastAsiaTheme="majorEastAsia" w:hAnsi="Verdana" w:cstheme="majorBidi"/>
      <w:b/>
      <w:caps/>
      <w:sz w:val="24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B33C7A"/>
    <w:rPr>
      <w:rFonts w:ascii="Verdana" w:eastAsiaTheme="majorEastAsia" w:hAnsi="Verdana" w:cstheme="majorBidi"/>
      <w:b/>
      <w:sz w:val="20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FF45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F45A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F45A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F45A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F45A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F45A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F45A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F45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F45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F45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F45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F45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F45A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F45A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F45A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F45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F45A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F45A5"/>
    <w:rPr>
      <w:b/>
      <w:bCs/>
      <w:smallCaps/>
      <w:color w:val="0F4761" w:themeColor="accent1" w:themeShade="BF"/>
      <w:spacing w:val="5"/>
    </w:rPr>
  </w:style>
  <w:style w:type="paragraph" w:styleId="Obsah1">
    <w:name w:val="toc 1"/>
    <w:basedOn w:val="Normln"/>
    <w:next w:val="Normln"/>
    <w:autoRedefine/>
    <w:uiPriority w:val="39"/>
    <w:unhideWhenUsed/>
    <w:rsid w:val="00764C2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764C2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64C2D"/>
    <w:rPr>
      <w:color w:val="467886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7B04C4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412F42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customStyle="1" w:styleId="MainTextChar">
    <w:name w:val="Main Text Char"/>
    <w:link w:val="MainText"/>
    <w:uiPriority w:val="99"/>
    <w:locked/>
    <w:rsid w:val="00F51121"/>
    <w:rPr>
      <w:rFonts w:ascii="Verdana" w:eastAsia="MS Mincho" w:hAnsi="Verdana" w:cs="Times New Roman"/>
      <w:kern w:val="0"/>
      <w:sz w:val="20"/>
      <w:szCs w:val="20"/>
      <w14:ligatures w14:val="none"/>
    </w:rPr>
  </w:style>
  <w:style w:type="paragraph" w:customStyle="1" w:styleId="MainText">
    <w:name w:val="Main Text"/>
    <w:basedOn w:val="Normln"/>
    <w:link w:val="MainTextChar"/>
    <w:uiPriority w:val="99"/>
    <w:qFormat/>
    <w:rsid w:val="00F51121"/>
    <w:pPr>
      <w:spacing w:before="240" w:after="0" w:line="240" w:lineRule="auto"/>
      <w:jc w:val="both"/>
    </w:pPr>
    <w:rPr>
      <w:rFonts w:ascii="Verdana" w:eastAsia="MS Mincho" w:hAnsi="Verdana" w:cs="Times New Roman"/>
      <w:kern w:val="0"/>
      <w:sz w:val="20"/>
      <w:szCs w:val="20"/>
      <w14:ligatures w14:val="none"/>
    </w:rPr>
  </w:style>
  <w:style w:type="paragraph" w:customStyle="1" w:styleId="Tabletext">
    <w:name w:val="Table text"/>
    <w:basedOn w:val="Normln"/>
    <w:uiPriority w:val="99"/>
    <w:qFormat/>
    <w:rsid w:val="00F51121"/>
    <w:pPr>
      <w:suppressAutoHyphens/>
      <w:spacing w:before="50" w:after="50" w:line="240" w:lineRule="auto"/>
      <w:ind w:left="17" w:right="17"/>
    </w:pPr>
    <w:rPr>
      <w:rFonts w:ascii="Verdana" w:eastAsia="MS Mincho" w:hAnsi="Verdana" w:cs="Times New Roman"/>
      <w:kern w:val="0"/>
      <w:sz w:val="18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8</Pages>
  <Words>1757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60</cp:revision>
  <dcterms:created xsi:type="dcterms:W3CDTF">2024-02-19T09:26:00Z</dcterms:created>
  <dcterms:modified xsi:type="dcterms:W3CDTF">2024-06-04T09:54:00Z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2024-03-18T12:43:29Z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a33e5594-0f52-4856-91ae-eb77efad5247</vt:lpwstr>
  </property>
  <property fmtid="{D5CDD505-2E9C-101B-9397-08002B2CF9AE}" pid="8" name="MSIP_Label_690ebb53-23a2-471a-9c6e-17bd0d11311e_ContentBits">
    <vt:lpwstr>0</vt:lpwstr>
  </property>
</Properties>
</file>